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5F6A" w:rsidRDefault="00FD5F6A">
      <w:pPr>
        <w:rPr>
          <w:b/>
          <w:sz w:val="28"/>
          <w:szCs w:val="28"/>
        </w:rPr>
      </w:pPr>
      <w:r w:rsidRPr="00FD5F6A">
        <w:rPr>
          <w:rFonts w:cs="Calibri"/>
        </w:rPr>
        <w:pict>
          <v:shapetype id="_x0000_m1028" coordsize="21600,21600" o:spt="75#_x0000_t75" o:preferrelative="t" path="m@4@5l@4@11@9@11@9@5xe" filled="t" stroked="t">
            <v:stroke joinstyle="round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t" gradientshapeok="f" o:connecttype="segments"/>
            <o:lock v:ext="edit" aspectratio="f"/>
          </v:shapetype>
        </w:pict>
      </w:r>
      <w:r w:rsidRPr="00FD5F6A">
        <w:rPr>
          <w:rFonts w:cs="Calibri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0" o:spid="_x0000_i1025" type="#_x0000_t75" style="width:174.75pt;height:70.5pt;mso-wrap-distance-left:0;mso-wrap-distance-top:0;mso-wrap-distance-right:0;mso-wrap-distance-bottom:0">
            <v:imagedata r:id="rId7" o:title=""/>
            <v:path textboxrect="0,0,0,0"/>
          </v:shape>
        </w:pict>
      </w:r>
    </w:p>
    <w:p w:rsidR="00FD5F6A" w:rsidRDefault="00FD5F6A">
      <w:pPr>
        <w:rPr>
          <w:b/>
          <w:sz w:val="26"/>
          <w:szCs w:val="26"/>
        </w:rPr>
      </w:pPr>
    </w:p>
    <w:p w:rsidR="00FD5F6A" w:rsidRDefault="00FD5F6A">
      <w:pPr>
        <w:jc w:val="center"/>
        <w:rPr>
          <w:b/>
          <w:sz w:val="28"/>
          <w:szCs w:val="28"/>
        </w:rPr>
      </w:pPr>
    </w:p>
    <w:p w:rsidR="00FD5F6A" w:rsidRDefault="0069499E">
      <w:pPr>
        <w:spacing w:line="276" w:lineRule="auto"/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Площадь земель населенных пунктов и земель промышленности Новосибирской области увеличилась</w:t>
      </w:r>
    </w:p>
    <w:p w:rsidR="00FD5F6A" w:rsidRDefault="00FD5F6A">
      <w:pPr>
        <w:spacing w:line="276" w:lineRule="auto"/>
        <w:ind w:firstLine="709"/>
        <w:jc w:val="both"/>
        <w:rPr>
          <w:sz w:val="28"/>
          <w:szCs w:val="28"/>
        </w:rPr>
      </w:pPr>
    </w:p>
    <w:p w:rsidR="00FD5F6A" w:rsidRDefault="0069499E">
      <w:pPr>
        <w:tabs>
          <w:tab w:val="left" w:pos="4678"/>
          <w:tab w:val="left" w:pos="5529"/>
        </w:tabs>
        <w:ind w:firstLine="709"/>
        <w:contextualSpacing/>
        <w:jc w:val="both"/>
        <w:rPr>
          <w:rFonts w:ascii="PT Astra Serif" w:eastAsia="PT Astra Serif" w:hAnsi="PT Astra Serif" w:cs="PT Astra Serif"/>
          <w:sz w:val="28"/>
          <w:szCs w:val="28"/>
          <w:highlight w:val="white"/>
        </w:rPr>
      </w:pPr>
      <w:r>
        <w:rPr>
          <w:rFonts w:ascii="PT Astra Serif" w:eastAsia="PT Astra Serif" w:hAnsi="PT Astra Serif" w:cs="PT Astra Serif"/>
          <w:sz w:val="28"/>
          <w:szCs w:val="28"/>
          <w:highlight w:val="white"/>
        </w:rPr>
        <w:t>Земли, находящиеся в пределах Новосибирской области, составляют ее земельный фонд.</w:t>
      </w:r>
    </w:p>
    <w:p w:rsidR="00FD5F6A" w:rsidRDefault="0069499E">
      <w:pPr>
        <w:tabs>
          <w:tab w:val="left" w:pos="4678"/>
          <w:tab w:val="left" w:pos="5529"/>
        </w:tabs>
        <w:ind w:firstLine="709"/>
        <w:contextualSpacing/>
        <w:jc w:val="both"/>
        <w:rPr>
          <w:rFonts w:ascii="PT Astra Serif" w:eastAsia="PT Astra Serif" w:hAnsi="PT Astra Serif" w:cs="PT Astra Serif"/>
          <w:sz w:val="28"/>
          <w:szCs w:val="28"/>
          <w:highlight w:val="white"/>
        </w:rPr>
      </w:pPr>
      <w:r>
        <w:rPr>
          <w:rFonts w:ascii="PT Astra Serif" w:eastAsia="PT Astra Serif" w:hAnsi="PT Astra Serif" w:cs="PT Astra Serif"/>
          <w:sz w:val="28"/>
          <w:szCs w:val="28"/>
          <w:highlight w:val="white"/>
        </w:rPr>
        <w:t>Площадь земель региона – 17775,6 тыс. га, все земли распределены по категориям. Основную часть занимают земли сельхозназначения – 62,4% и земли лесного фонда – 26,1%.</w:t>
      </w:r>
    </w:p>
    <w:p w:rsidR="00FD5F6A" w:rsidRDefault="0069499E">
      <w:pPr>
        <w:tabs>
          <w:tab w:val="left" w:pos="4678"/>
          <w:tab w:val="left" w:pos="5529"/>
        </w:tabs>
        <w:ind w:firstLine="709"/>
        <w:contextualSpacing/>
        <w:jc w:val="both"/>
        <w:rPr>
          <w:rFonts w:ascii="PT Astra Serif" w:eastAsia="PT Astra Serif" w:hAnsi="PT Astra Serif" w:cs="PT Astra Serif"/>
          <w:sz w:val="28"/>
          <w:szCs w:val="28"/>
          <w:highlight w:val="white"/>
        </w:rPr>
      </w:pPr>
      <w:r>
        <w:rPr>
          <w:rFonts w:ascii="PT Astra Serif" w:eastAsia="PT Astra Serif" w:hAnsi="PT Astra Serif" w:cs="PT Astra Serif"/>
          <w:sz w:val="28"/>
          <w:szCs w:val="28"/>
          <w:highlight w:val="white"/>
        </w:rPr>
        <w:t>За 202</w:t>
      </w:r>
      <w:r>
        <w:rPr>
          <w:rFonts w:ascii="PT Astra Serif" w:eastAsia="PT Astra Serif" w:hAnsi="PT Astra Serif" w:cs="PT Astra Serif"/>
          <w:sz w:val="28"/>
          <w:szCs w:val="28"/>
          <w:highlight w:val="white"/>
        </w:rPr>
        <w:t>4 год площадь земель населенных пунктов, в том числе сельских населенных пунктов, увеличилась на 9,8 тыс. га за счет земель сельхозназначения, теперь она составляет 154,3 тыс. га. Наибольший рост отмечается в сельских населенных пунктах Коченевского и Тогу</w:t>
      </w:r>
      <w:r>
        <w:rPr>
          <w:rFonts w:ascii="PT Astra Serif" w:eastAsia="PT Astra Serif" w:hAnsi="PT Astra Serif" w:cs="PT Astra Serif"/>
          <w:sz w:val="28"/>
          <w:szCs w:val="28"/>
          <w:highlight w:val="white"/>
        </w:rPr>
        <w:t xml:space="preserve">чинского районов (на 4,4 и 4,0 тыс. га). Площадь городских населенных пунктов 128,1 тыс. га, наибольшую площадь занимает областной центр – город Новосибирск, его площадь 50032 га (39,2 % от площади городских населенных пунктов). </w:t>
      </w:r>
    </w:p>
    <w:p w:rsidR="00FD5F6A" w:rsidRDefault="0069499E">
      <w:pPr>
        <w:tabs>
          <w:tab w:val="left" w:pos="4678"/>
          <w:tab w:val="left" w:pos="5529"/>
        </w:tabs>
        <w:ind w:firstLine="709"/>
        <w:contextualSpacing/>
        <w:jc w:val="both"/>
        <w:rPr>
          <w:rFonts w:ascii="PT Astra Serif" w:eastAsia="PT Astra Serif" w:hAnsi="PT Astra Serif" w:cs="PT Astra Serif"/>
          <w:sz w:val="28"/>
          <w:szCs w:val="28"/>
          <w:highlight w:val="white"/>
        </w:rPr>
      </w:pPr>
      <w:r>
        <w:rPr>
          <w:rFonts w:ascii="PT Astra Serif" w:eastAsia="PT Astra Serif" w:hAnsi="PT Astra Serif" w:cs="PT Astra Serif"/>
          <w:sz w:val="28"/>
          <w:szCs w:val="28"/>
          <w:highlight w:val="white"/>
        </w:rPr>
        <w:t>Площадь земель сельхозназн</w:t>
      </w:r>
      <w:r>
        <w:rPr>
          <w:rFonts w:ascii="PT Astra Serif" w:eastAsia="PT Astra Serif" w:hAnsi="PT Astra Serif" w:cs="PT Astra Serif"/>
          <w:sz w:val="28"/>
          <w:szCs w:val="28"/>
          <w:highlight w:val="white"/>
        </w:rPr>
        <w:t xml:space="preserve">ачения (11096,3 тыс. га) в течение 2024 года снизилась на 9,9 тыс. га в 14 районах области: </w:t>
      </w:r>
      <w:proofErr w:type="spellStart"/>
      <w:r>
        <w:rPr>
          <w:rFonts w:ascii="PT Astra Serif" w:eastAsia="PT Astra Serif" w:hAnsi="PT Astra Serif" w:cs="PT Astra Serif"/>
          <w:sz w:val="28"/>
          <w:szCs w:val="28"/>
          <w:highlight w:val="white"/>
        </w:rPr>
        <w:t>Искитимский</w:t>
      </w:r>
      <w:proofErr w:type="spellEnd"/>
      <w:r>
        <w:rPr>
          <w:rFonts w:ascii="PT Astra Serif" w:eastAsia="PT Astra Serif" w:hAnsi="PT Astra Serif" w:cs="PT Astra Serif"/>
          <w:sz w:val="28"/>
          <w:szCs w:val="28"/>
          <w:highlight w:val="white"/>
        </w:rPr>
        <w:t xml:space="preserve">, </w:t>
      </w:r>
      <w:proofErr w:type="spellStart"/>
      <w:r>
        <w:rPr>
          <w:rFonts w:ascii="PT Astra Serif" w:eastAsia="PT Astra Serif" w:hAnsi="PT Astra Serif" w:cs="PT Astra Serif"/>
          <w:sz w:val="28"/>
          <w:szCs w:val="28"/>
          <w:highlight w:val="white"/>
        </w:rPr>
        <w:t>Колыванский</w:t>
      </w:r>
      <w:proofErr w:type="spellEnd"/>
      <w:r>
        <w:rPr>
          <w:rFonts w:ascii="PT Astra Serif" w:eastAsia="PT Astra Serif" w:hAnsi="PT Astra Serif" w:cs="PT Astra Serif"/>
          <w:sz w:val="28"/>
          <w:szCs w:val="28"/>
          <w:highlight w:val="white"/>
        </w:rPr>
        <w:t xml:space="preserve">, </w:t>
      </w:r>
      <w:proofErr w:type="spellStart"/>
      <w:r>
        <w:rPr>
          <w:rFonts w:ascii="PT Astra Serif" w:eastAsia="PT Astra Serif" w:hAnsi="PT Astra Serif" w:cs="PT Astra Serif"/>
          <w:sz w:val="28"/>
          <w:szCs w:val="28"/>
          <w:highlight w:val="white"/>
        </w:rPr>
        <w:t>Коченевский</w:t>
      </w:r>
      <w:proofErr w:type="spellEnd"/>
      <w:r>
        <w:rPr>
          <w:rFonts w:ascii="PT Astra Serif" w:eastAsia="PT Astra Serif" w:hAnsi="PT Astra Serif" w:cs="PT Astra Serif"/>
          <w:sz w:val="28"/>
          <w:szCs w:val="28"/>
          <w:highlight w:val="white"/>
        </w:rPr>
        <w:t xml:space="preserve">, </w:t>
      </w:r>
      <w:proofErr w:type="spellStart"/>
      <w:r>
        <w:rPr>
          <w:rFonts w:ascii="PT Astra Serif" w:eastAsia="PT Astra Serif" w:hAnsi="PT Astra Serif" w:cs="PT Astra Serif"/>
          <w:sz w:val="28"/>
          <w:szCs w:val="28"/>
          <w:highlight w:val="white"/>
        </w:rPr>
        <w:t>Краснозерский</w:t>
      </w:r>
      <w:proofErr w:type="spellEnd"/>
      <w:r>
        <w:rPr>
          <w:rFonts w:ascii="PT Astra Serif" w:eastAsia="PT Astra Serif" w:hAnsi="PT Astra Serif" w:cs="PT Astra Serif"/>
          <w:sz w:val="28"/>
          <w:szCs w:val="28"/>
          <w:highlight w:val="white"/>
        </w:rPr>
        <w:t xml:space="preserve">, </w:t>
      </w:r>
      <w:proofErr w:type="spellStart"/>
      <w:r>
        <w:rPr>
          <w:rFonts w:ascii="PT Astra Serif" w:eastAsia="PT Astra Serif" w:hAnsi="PT Astra Serif" w:cs="PT Astra Serif"/>
          <w:sz w:val="28"/>
          <w:szCs w:val="28"/>
          <w:highlight w:val="white"/>
        </w:rPr>
        <w:t>Кыштовский</w:t>
      </w:r>
      <w:proofErr w:type="spellEnd"/>
      <w:r>
        <w:rPr>
          <w:rFonts w:ascii="PT Astra Serif" w:eastAsia="PT Astra Serif" w:hAnsi="PT Astra Serif" w:cs="PT Astra Serif"/>
          <w:sz w:val="28"/>
          <w:szCs w:val="28"/>
          <w:highlight w:val="white"/>
        </w:rPr>
        <w:t xml:space="preserve">, </w:t>
      </w:r>
      <w:proofErr w:type="spellStart"/>
      <w:r>
        <w:rPr>
          <w:rFonts w:ascii="PT Astra Serif" w:eastAsia="PT Astra Serif" w:hAnsi="PT Astra Serif" w:cs="PT Astra Serif"/>
          <w:sz w:val="28"/>
          <w:szCs w:val="28"/>
          <w:highlight w:val="white"/>
        </w:rPr>
        <w:t>Маслянинский</w:t>
      </w:r>
      <w:proofErr w:type="spellEnd"/>
      <w:r>
        <w:rPr>
          <w:rFonts w:ascii="PT Astra Serif" w:eastAsia="PT Astra Serif" w:hAnsi="PT Astra Serif" w:cs="PT Astra Serif"/>
          <w:sz w:val="28"/>
          <w:szCs w:val="28"/>
          <w:highlight w:val="white"/>
        </w:rPr>
        <w:t xml:space="preserve">, </w:t>
      </w:r>
      <w:proofErr w:type="spellStart"/>
      <w:r>
        <w:rPr>
          <w:rFonts w:ascii="PT Astra Serif" w:eastAsia="PT Astra Serif" w:hAnsi="PT Astra Serif" w:cs="PT Astra Serif"/>
          <w:sz w:val="28"/>
          <w:szCs w:val="28"/>
          <w:highlight w:val="white"/>
        </w:rPr>
        <w:t>Мошковский</w:t>
      </w:r>
      <w:proofErr w:type="spellEnd"/>
      <w:r>
        <w:rPr>
          <w:rFonts w:ascii="PT Astra Serif" w:eastAsia="PT Astra Serif" w:hAnsi="PT Astra Serif" w:cs="PT Astra Serif"/>
          <w:sz w:val="28"/>
          <w:szCs w:val="28"/>
          <w:highlight w:val="white"/>
        </w:rPr>
        <w:t xml:space="preserve">, Новосибирский, Ордынский, Северный, Сузунский,  </w:t>
      </w:r>
      <w:proofErr w:type="spellStart"/>
      <w:r>
        <w:rPr>
          <w:rFonts w:ascii="PT Astra Serif" w:eastAsia="PT Astra Serif" w:hAnsi="PT Astra Serif" w:cs="PT Astra Serif"/>
          <w:sz w:val="28"/>
          <w:szCs w:val="28"/>
          <w:highlight w:val="white"/>
        </w:rPr>
        <w:t>Тогучинский</w:t>
      </w:r>
      <w:proofErr w:type="spellEnd"/>
      <w:r>
        <w:rPr>
          <w:rFonts w:ascii="PT Astra Serif" w:eastAsia="PT Astra Serif" w:hAnsi="PT Astra Serif" w:cs="PT Astra Serif"/>
          <w:sz w:val="28"/>
          <w:szCs w:val="28"/>
          <w:highlight w:val="white"/>
        </w:rPr>
        <w:t xml:space="preserve">, </w:t>
      </w:r>
      <w:proofErr w:type="spellStart"/>
      <w:r>
        <w:rPr>
          <w:rFonts w:ascii="PT Astra Serif" w:eastAsia="PT Astra Serif" w:hAnsi="PT Astra Serif" w:cs="PT Astra Serif"/>
          <w:sz w:val="28"/>
          <w:szCs w:val="28"/>
          <w:highlight w:val="white"/>
        </w:rPr>
        <w:t>Усть-Таркск</w:t>
      </w:r>
      <w:r>
        <w:rPr>
          <w:rFonts w:ascii="PT Astra Serif" w:eastAsia="PT Astra Serif" w:hAnsi="PT Astra Serif" w:cs="PT Astra Serif"/>
          <w:sz w:val="28"/>
          <w:szCs w:val="28"/>
          <w:highlight w:val="white"/>
        </w:rPr>
        <w:t>ий</w:t>
      </w:r>
      <w:proofErr w:type="spellEnd"/>
      <w:r>
        <w:rPr>
          <w:rFonts w:ascii="PT Astra Serif" w:eastAsia="PT Astra Serif" w:hAnsi="PT Astra Serif" w:cs="PT Astra Serif"/>
          <w:sz w:val="28"/>
          <w:szCs w:val="28"/>
          <w:highlight w:val="white"/>
        </w:rPr>
        <w:t>, Черепановский районы. Это связано с переводом земель в другие категории – в земли населенных пунктов, в земли промышленности и иного специального назначения.</w:t>
      </w:r>
    </w:p>
    <w:p w:rsidR="00FD5F6A" w:rsidRDefault="0069499E">
      <w:pPr>
        <w:tabs>
          <w:tab w:val="left" w:pos="4678"/>
          <w:tab w:val="left" w:pos="5529"/>
        </w:tabs>
        <w:ind w:firstLine="709"/>
        <w:contextualSpacing/>
        <w:jc w:val="both"/>
        <w:rPr>
          <w:rFonts w:ascii="PT Astra Serif" w:eastAsia="PT Astra Serif" w:hAnsi="PT Astra Serif" w:cs="PT Astra Serif"/>
          <w:sz w:val="28"/>
          <w:szCs w:val="28"/>
          <w:highlight w:val="white"/>
        </w:rPr>
      </w:pPr>
      <w:r>
        <w:rPr>
          <w:rFonts w:ascii="PT Astra Serif" w:eastAsia="PT Astra Serif" w:hAnsi="PT Astra Serif" w:cs="PT Astra Serif"/>
          <w:sz w:val="28"/>
          <w:szCs w:val="28"/>
          <w:highlight w:val="white"/>
        </w:rPr>
        <w:t>Площадь земель промышленности и иного специального назначения (129,6 тыс. га) в течение года у</w:t>
      </w:r>
      <w:r>
        <w:rPr>
          <w:rFonts w:ascii="PT Astra Serif" w:eastAsia="PT Astra Serif" w:hAnsi="PT Astra Serif" w:cs="PT Astra Serif"/>
          <w:sz w:val="28"/>
          <w:szCs w:val="28"/>
          <w:highlight w:val="white"/>
        </w:rPr>
        <w:t xml:space="preserve">величилась на 0,6 тыс. га за счет  перевода земельных участков из земель сельскохозяйственного назначения, наибольший рост отмечается в Новосибирском (на 0,2 тыс. га) и Черепановском (на 0,1 тыс. га) районах. </w:t>
      </w:r>
    </w:p>
    <w:p w:rsidR="00FD5F6A" w:rsidRDefault="0069499E">
      <w:pPr>
        <w:tabs>
          <w:tab w:val="left" w:pos="4678"/>
          <w:tab w:val="left" w:pos="5529"/>
        </w:tabs>
        <w:ind w:firstLine="709"/>
        <w:contextualSpacing/>
        <w:jc w:val="both"/>
        <w:rPr>
          <w:rFonts w:ascii="PT Astra Serif" w:eastAsia="PT Astra Serif" w:hAnsi="PT Astra Serif" w:cs="PT Astra Serif"/>
          <w:sz w:val="28"/>
          <w:szCs w:val="28"/>
          <w:highlight w:val="white"/>
        </w:rPr>
      </w:pPr>
      <w:r>
        <w:rPr>
          <w:rFonts w:ascii="PT Astra Serif" w:eastAsia="PT Astra Serif" w:hAnsi="PT Astra Serif" w:cs="PT Astra Serif"/>
          <w:sz w:val="28"/>
          <w:szCs w:val="28"/>
          <w:highlight w:val="white"/>
        </w:rPr>
        <w:t>Площадь земель лесного фонда за год не изменил</w:t>
      </w:r>
      <w:r>
        <w:rPr>
          <w:rFonts w:ascii="PT Astra Serif" w:eastAsia="PT Astra Serif" w:hAnsi="PT Astra Serif" w:cs="PT Astra Serif"/>
          <w:sz w:val="28"/>
          <w:szCs w:val="28"/>
          <w:highlight w:val="white"/>
        </w:rPr>
        <w:t xml:space="preserve">ась – 4629,7 тыс. га, лесные площади составляют 59,9% всей площади лесного фонда, болота – 36,5%, остальная часть – это </w:t>
      </w:r>
      <w:proofErr w:type="spellStart"/>
      <w:r>
        <w:rPr>
          <w:rFonts w:ascii="PT Astra Serif" w:eastAsia="PT Astra Serif" w:hAnsi="PT Astra Serif" w:cs="PT Astra Serif"/>
          <w:sz w:val="28"/>
          <w:szCs w:val="28"/>
          <w:highlight w:val="white"/>
        </w:rPr>
        <w:t>сельхозугодья</w:t>
      </w:r>
      <w:proofErr w:type="spellEnd"/>
      <w:r>
        <w:rPr>
          <w:rFonts w:ascii="PT Astra Serif" w:eastAsia="PT Astra Serif" w:hAnsi="PT Astra Serif" w:cs="PT Astra Serif"/>
          <w:sz w:val="28"/>
          <w:szCs w:val="28"/>
          <w:highlight w:val="white"/>
        </w:rPr>
        <w:t xml:space="preserve"> (кормовые угодья, пашни), земли под дорогами и другие. Больше всего земель лесного фонда (67,2%) сосредоточено на севере о</w:t>
      </w:r>
      <w:r>
        <w:rPr>
          <w:rFonts w:ascii="PT Astra Serif" w:eastAsia="PT Astra Serif" w:hAnsi="PT Astra Serif" w:cs="PT Astra Serif"/>
          <w:sz w:val="28"/>
          <w:szCs w:val="28"/>
          <w:highlight w:val="white"/>
        </w:rPr>
        <w:t xml:space="preserve">бласти: в </w:t>
      </w:r>
      <w:proofErr w:type="spellStart"/>
      <w:r>
        <w:rPr>
          <w:rFonts w:ascii="PT Astra Serif" w:eastAsia="PT Astra Serif" w:hAnsi="PT Astra Serif" w:cs="PT Astra Serif"/>
          <w:sz w:val="28"/>
          <w:szCs w:val="28"/>
          <w:highlight w:val="white"/>
        </w:rPr>
        <w:t>Колыванском</w:t>
      </w:r>
      <w:proofErr w:type="spellEnd"/>
      <w:r>
        <w:rPr>
          <w:rFonts w:ascii="PT Astra Serif" w:eastAsia="PT Astra Serif" w:hAnsi="PT Astra Serif" w:cs="PT Astra Serif"/>
          <w:sz w:val="28"/>
          <w:szCs w:val="28"/>
          <w:highlight w:val="white"/>
        </w:rPr>
        <w:t>, Кыштовском, Северном, Убинском районах.</w:t>
      </w:r>
    </w:p>
    <w:p w:rsidR="00FD5F6A" w:rsidRDefault="0069499E">
      <w:pPr>
        <w:tabs>
          <w:tab w:val="left" w:pos="4678"/>
          <w:tab w:val="left" w:pos="5529"/>
        </w:tabs>
        <w:ind w:firstLine="709"/>
        <w:contextualSpacing/>
        <w:jc w:val="both"/>
        <w:rPr>
          <w:rFonts w:ascii="PT Astra Serif" w:eastAsia="PT Astra Serif" w:hAnsi="PT Astra Serif" w:cs="PT Astra Serif"/>
          <w:sz w:val="28"/>
          <w:szCs w:val="28"/>
          <w:highlight w:val="white"/>
        </w:rPr>
      </w:pPr>
      <w:r>
        <w:rPr>
          <w:rFonts w:ascii="PT Astra Serif" w:eastAsia="PT Astra Serif" w:hAnsi="PT Astra Serif" w:cs="PT Astra Serif"/>
          <w:sz w:val="28"/>
          <w:szCs w:val="28"/>
          <w:highlight w:val="white"/>
        </w:rPr>
        <w:t xml:space="preserve">Треть всех земель в Новосибирской области принадлежит гражданам – 5469,2 тыс. га, за 2024 год рост на 0,8 тыс. га. Наибольшая доля земель </w:t>
      </w:r>
      <w:proofErr w:type="gramStart"/>
      <w:r>
        <w:rPr>
          <w:rFonts w:ascii="PT Astra Serif" w:eastAsia="PT Astra Serif" w:hAnsi="PT Astra Serif" w:cs="PT Astra Serif"/>
          <w:sz w:val="28"/>
          <w:szCs w:val="28"/>
          <w:highlight w:val="white"/>
        </w:rPr>
        <w:t>в</w:t>
      </w:r>
      <w:proofErr w:type="gramEnd"/>
      <w:r>
        <w:rPr>
          <w:rFonts w:ascii="PT Astra Serif" w:eastAsia="PT Astra Serif" w:hAnsi="PT Astra Serif" w:cs="PT Astra Serif"/>
          <w:sz w:val="28"/>
          <w:szCs w:val="28"/>
          <w:highlight w:val="white"/>
        </w:rPr>
        <w:t xml:space="preserve"> распоряжении граждан </w:t>
      </w:r>
      <w:proofErr w:type="gramStart"/>
      <w:r>
        <w:rPr>
          <w:rFonts w:ascii="PT Astra Serif" w:eastAsia="PT Astra Serif" w:hAnsi="PT Astra Serif" w:cs="PT Astra Serif"/>
          <w:sz w:val="28"/>
          <w:szCs w:val="28"/>
          <w:highlight w:val="white"/>
        </w:rPr>
        <w:t>отмечена</w:t>
      </w:r>
      <w:proofErr w:type="gramEnd"/>
      <w:r>
        <w:rPr>
          <w:rFonts w:ascii="PT Astra Serif" w:eastAsia="PT Astra Serif" w:hAnsi="PT Astra Serif" w:cs="PT Astra Serif"/>
          <w:sz w:val="28"/>
          <w:szCs w:val="28"/>
          <w:highlight w:val="white"/>
        </w:rPr>
        <w:t xml:space="preserve"> в Баганском, </w:t>
      </w:r>
      <w:proofErr w:type="spellStart"/>
      <w:r>
        <w:rPr>
          <w:rFonts w:ascii="PT Astra Serif" w:eastAsia="PT Astra Serif" w:hAnsi="PT Astra Serif" w:cs="PT Astra Serif"/>
          <w:sz w:val="28"/>
          <w:szCs w:val="28"/>
          <w:highlight w:val="white"/>
        </w:rPr>
        <w:t>Доволенско</w:t>
      </w:r>
      <w:r>
        <w:rPr>
          <w:rFonts w:ascii="PT Astra Serif" w:eastAsia="PT Astra Serif" w:hAnsi="PT Astra Serif" w:cs="PT Astra Serif"/>
          <w:sz w:val="28"/>
          <w:szCs w:val="28"/>
          <w:highlight w:val="white"/>
        </w:rPr>
        <w:t>м</w:t>
      </w:r>
      <w:proofErr w:type="spellEnd"/>
      <w:r>
        <w:rPr>
          <w:rFonts w:ascii="PT Astra Serif" w:eastAsia="PT Astra Serif" w:hAnsi="PT Astra Serif" w:cs="PT Astra Serif"/>
          <w:sz w:val="28"/>
          <w:szCs w:val="28"/>
          <w:highlight w:val="white"/>
        </w:rPr>
        <w:t xml:space="preserve">, Здвинском, Карасукском, Краснозерском, </w:t>
      </w:r>
      <w:proofErr w:type="spellStart"/>
      <w:r>
        <w:rPr>
          <w:rFonts w:ascii="PT Astra Serif" w:eastAsia="PT Astra Serif" w:hAnsi="PT Astra Serif" w:cs="PT Astra Serif"/>
          <w:sz w:val="28"/>
          <w:szCs w:val="28"/>
          <w:highlight w:val="white"/>
        </w:rPr>
        <w:t>Купинском</w:t>
      </w:r>
      <w:proofErr w:type="spellEnd"/>
      <w:r>
        <w:rPr>
          <w:rFonts w:ascii="PT Astra Serif" w:eastAsia="PT Astra Serif" w:hAnsi="PT Astra Serif" w:cs="PT Astra Serif"/>
          <w:sz w:val="28"/>
          <w:szCs w:val="28"/>
          <w:highlight w:val="white"/>
        </w:rPr>
        <w:t>, Татарском районах области.</w:t>
      </w:r>
    </w:p>
    <w:p w:rsidR="00FD5F6A" w:rsidRDefault="0069499E">
      <w:pPr>
        <w:tabs>
          <w:tab w:val="left" w:pos="4678"/>
          <w:tab w:val="left" w:pos="5529"/>
        </w:tabs>
        <w:ind w:firstLine="709"/>
        <w:contextualSpacing/>
        <w:jc w:val="both"/>
        <w:rPr>
          <w:rFonts w:ascii="PT Astra Serif" w:eastAsia="PT Astra Serif" w:hAnsi="PT Astra Serif" w:cs="PT Astra Serif"/>
          <w:sz w:val="28"/>
          <w:szCs w:val="28"/>
          <w:highlight w:val="white"/>
        </w:rPr>
      </w:pPr>
      <w:r>
        <w:rPr>
          <w:rFonts w:ascii="PT Astra Serif" w:eastAsia="PT Astra Serif" w:hAnsi="PT Astra Serif" w:cs="PT Astra Serif"/>
          <w:sz w:val="28"/>
          <w:szCs w:val="28"/>
          <w:highlight w:val="white"/>
        </w:rPr>
        <w:lastRenderedPageBreak/>
        <w:t>За 2024 год увеличилась площадь земель в собственности юридических лиц на 7,1 тыс. га. Большая часть земель в собственности юридических лиц зафиксирована в городах Обь, Новосиб</w:t>
      </w:r>
      <w:r>
        <w:rPr>
          <w:rFonts w:ascii="PT Astra Serif" w:eastAsia="PT Astra Serif" w:hAnsi="PT Astra Serif" w:cs="PT Astra Serif"/>
          <w:sz w:val="28"/>
          <w:szCs w:val="28"/>
          <w:highlight w:val="white"/>
        </w:rPr>
        <w:t xml:space="preserve">ирск, Искитим, Бердск, Барабинском, </w:t>
      </w:r>
      <w:proofErr w:type="spellStart"/>
      <w:r>
        <w:rPr>
          <w:rFonts w:ascii="PT Astra Serif" w:eastAsia="PT Astra Serif" w:hAnsi="PT Astra Serif" w:cs="PT Astra Serif"/>
          <w:sz w:val="28"/>
          <w:szCs w:val="28"/>
          <w:highlight w:val="white"/>
        </w:rPr>
        <w:t>Искитимском</w:t>
      </w:r>
      <w:proofErr w:type="spellEnd"/>
      <w:r>
        <w:rPr>
          <w:rFonts w:ascii="PT Astra Serif" w:eastAsia="PT Astra Serif" w:hAnsi="PT Astra Serif" w:cs="PT Astra Serif"/>
          <w:sz w:val="28"/>
          <w:szCs w:val="28"/>
          <w:highlight w:val="white"/>
        </w:rPr>
        <w:t xml:space="preserve">, </w:t>
      </w:r>
      <w:proofErr w:type="spellStart"/>
      <w:r>
        <w:rPr>
          <w:rFonts w:ascii="PT Astra Serif" w:eastAsia="PT Astra Serif" w:hAnsi="PT Astra Serif" w:cs="PT Astra Serif"/>
          <w:sz w:val="28"/>
          <w:szCs w:val="28"/>
          <w:highlight w:val="white"/>
        </w:rPr>
        <w:t>Мошковском</w:t>
      </w:r>
      <w:proofErr w:type="spellEnd"/>
      <w:r>
        <w:rPr>
          <w:rFonts w:ascii="PT Astra Serif" w:eastAsia="PT Astra Serif" w:hAnsi="PT Astra Serif" w:cs="PT Astra Serif"/>
          <w:sz w:val="28"/>
          <w:szCs w:val="28"/>
          <w:highlight w:val="white"/>
        </w:rPr>
        <w:t xml:space="preserve">, Сузунском и </w:t>
      </w:r>
      <w:proofErr w:type="spellStart"/>
      <w:r>
        <w:rPr>
          <w:rFonts w:ascii="PT Astra Serif" w:eastAsia="PT Astra Serif" w:hAnsi="PT Astra Serif" w:cs="PT Astra Serif"/>
          <w:sz w:val="28"/>
          <w:szCs w:val="28"/>
          <w:highlight w:val="white"/>
        </w:rPr>
        <w:t>Тогучинском</w:t>
      </w:r>
      <w:proofErr w:type="spellEnd"/>
      <w:r>
        <w:rPr>
          <w:rFonts w:ascii="PT Astra Serif" w:eastAsia="PT Astra Serif" w:hAnsi="PT Astra Serif" w:cs="PT Astra Serif"/>
          <w:sz w:val="28"/>
          <w:szCs w:val="28"/>
          <w:highlight w:val="white"/>
        </w:rPr>
        <w:t xml:space="preserve">  районах области.</w:t>
      </w:r>
    </w:p>
    <w:p w:rsidR="00FD5F6A" w:rsidRDefault="0069499E">
      <w:pPr>
        <w:tabs>
          <w:tab w:val="left" w:pos="4678"/>
          <w:tab w:val="left" w:pos="5529"/>
        </w:tabs>
        <w:ind w:firstLine="709"/>
        <w:contextualSpacing/>
        <w:jc w:val="both"/>
        <w:rPr>
          <w:rFonts w:ascii="PT Astra Serif" w:eastAsia="PT Astra Serif" w:hAnsi="PT Astra Serif" w:cs="PT Astra Serif"/>
          <w:sz w:val="28"/>
          <w:szCs w:val="28"/>
          <w:highlight w:val="white"/>
        </w:rPr>
      </w:pPr>
      <w:r>
        <w:rPr>
          <w:rFonts w:ascii="PT Astra Serif" w:eastAsia="PT Astra Serif" w:hAnsi="PT Astra Serif" w:cs="PT Astra Serif"/>
          <w:sz w:val="28"/>
          <w:szCs w:val="28"/>
          <w:highlight w:val="white"/>
        </w:rPr>
        <w:t>Общая площадь земель, которыми распоряжается государство и муниципальные образования, за прошедший год уменьшилась на 7,9 тыс. га. Наибольшая часть таких</w:t>
      </w:r>
      <w:r>
        <w:rPr>
          <w:rFonts w:ascii="PT Astra Serif" w:eastAsia="PT Astra Serif" w:hAnsi="PT Astra Serif" w:cs="PT Astra Serif"/>
          <w:sz w:val="28"/>
          <w:szCs w:val="28"/>
          <w:highlight w:val="white"/>
        </w:rPr>
        <w:t xml:space="preserve"> земель расположена в Северном, </w:t>
      </w:r>
      <w:proofErr w:type="spellStart"/>
      <w:r>
        <w:rPr>
          <w:rFonts w:ascii="PT Astra Serif" w:eastAsia="PT Astra Serif" w:hAnsi="PT Astra Serif" w:cs="PT Astra Serif"/>
          <w:sz w:val="28"/>
          <w:szCs w:val="28"/>
          <w:highlight w:val="white"/>
        </w:rPr>
        <w:t>Колыванском</w:t>
      </w:r>
      <w:proofErr w:type="spellEnd"/>
      <w:r>
        <w:rPr>
          <w:rFonts w:ascii="PT Astra Serif" w:eastAsia="PT Astra Serif" w:hAnsi="PT Astra Serif" w:cs="PT Astra Serif"/>
          <w:sz w:val="28"/>
          <w:szCs w:val="28"/>
          <w:highlight w:val="white"/>
        </w:rPr>
        <w:t>, Кыштовском, Убинском районах, городах Татарск, Барабинск и Куйбышев.</w:t>
      </w:r>
    </w:p>
    <w:p w:rsidR="00FD5F6A" w:rsidRDefault="00FD5F6A">
      <w:pPr>
        <w:tabs>
          <w:tab w:val="left" w:pos="4678"/>
          <w:tab w:val="left" w:pos="5529"/>
        </w:tabs>
        <w:ind w:firstLine="709"/>
        <w:contextualSpacing/>
        <w:jc w:val="both"/>
        <w:rPr>
          <w:rFonts w:ascii="PT Astra Serif" w:eastAsia="PT Astra Serif" w:hAnsi="PT Astra Serif" w:cs="PT Astra Serif"/>
          <w:sz w:val="28"/>
          <w:szCs w:val="28"/>
          <w:highlight w:val="white"/>
        </w:rPr>
      </w:pPr>
    </w:p>
    <w:p w:rsidR="00FD5F6A" w:rsidRDefault="0069499E">
      <w:pPr>
        <w:tabs>
          <w:tab w:val="left" w:pos="4678"/>
          <w:tab w:val="left" w:pos="5529"/>
        </w:tabs>
        <w:ind w:firstLine="709"/>
        <w:contextualSpacing/>
        <w:jc w:val="both"/>
        <w:rPr>
          <w:rFonts w:ascii="PT Astra Serif" w:eastAsia="PT Astra Serif" w:hAnsi="PT Astra Serif" w:cs="PT Astra Serif"/>
          <w:sz w:val="28"/>
          <w:szCs w:val="28"/>
          <w:highlight w:val="white"/>
        </w:rPr>
      </w:pPr>
      <w:r>
        <w:rPr>
          <w:rFonts w:ascii="PT Astra Serif" w:eastAsia="PT Astra Serif" w:hAnsi="PT Astra Serif" w:cs="PT Astra Serif"/>
          <w:sz w:val="28"/>
          <w:szCs w:val="28"/>
          <w:highlight w:val="white"/>
        </w:rPr>
        <w:t xml:space="preserve">Новосибирский Росреестр ежегодно готовит доклад о состоянии и использовании земель Новосибирской области, с докладом за 2024 год можно </w:t>
      </w:r>
      <w:hyperlink r:id="rId8" w:tooltip="https://rosreestr.gov.ru/open-service/statistika-i-analitika/zemleustroystvo-i-monitoring-zemel/monitoring-zemel/" w:history="1">
        <w:r>
          <w:rPr>
            <w:rStyle w:val="ac"/>
            <w:rFonts w:ascii="PT Astra Serif" w:eastAsia="PT Astra Serif" w:hAnsi="PT Astra Serif" w:cs="PT Astra Serif"/>
            <w:sz w:val="28"/>
            <w:szCs w:val="28"/>
            <w:highlight w:val="white"/>
          </w:rPr>
          <w:t>ознакомиться</w:t>
        </w:r>
      </w:hyperlink>
      <w:r>
        <w:rPr>
          <w:rFonts w:ascii="PT Astra Serif" w:eastAsia="PT Astra Serif" w:hAnsi="PT Astra Serif" w:cs="PT Astra Serif"/>
          <w:sz w:val="28"/>
          <w:szCs w:val="28"/>
          <w:highlight w:val="white"/>
        </w:rPr>
        <w:t xml:space="preserve"> в </w:t>
      </w:r>
      <w:r>
        <w:rPr>
          <w:rFonts w:ascii="PT Astra Serif" w:eastAsia="PT Astra Serif" w:hAnsi="PT Astra Serif" w:cs="PT Astra Serif"/>
          <w:sz w:val="28"/>
          <w:szCs w:val="28"/>
          <w:highlight w:val="white"/>
        </w:rPr>
        <w:t xml:space="preserve">региональном блоке официального сайта Росреестра в сети Интернет </w:t>
      </w:r>
      <w:hyperlink r:id="rId9" w:history="1">
        <w:r>
          <w:rPr>
            <w:rFonts w:ascii="PT Astra Serif" w:eastAsia="PT Astra Serif" w:hAnsi="PT Astra Serif" w:cs="PT Astra Serif"/>
            <w:sz w:val="28"/>
            <w:szCs w:val="28"/>
            <w:highlight w:val="white"/>
          </w:rPr>
          <w:t>https://rosreestr.gov.ru/</w:t>
        </w:r>
      </w:hyperlink>
      <w:r>
        <w:rPr>
          <w:rFonts w:ascii="PT Astra Serif" w:eastAsia="PT Astra Serif" w:hAnsi="PT Astra Serif" w:cs="PT Astra Serif"/>
          <w:sz w:val="28"/>
          <w:szCs w:val="28"/>
          <w:highlight w:val="white"/>
        </w:rPr>
        <w:t xml:space="preserve"> в разделе «</w:t>
      </w:r>
      <w:hyperlink r:id="rId10" w:history="1">
        <w:r>
          <w:rPr>
            <w:rFonts w:ascii="PT Astra Serif" w:eastAsia="PT Astra Serif" w:hAnsi="PT Astra Serif" w:cs="PT Astra Serif"/>
            <w:sz w:val="28"/>
            <w:szCs w:val="28"/>
            <w:highlight w:val="white"/>
          </w:rPr>
          <w:t>Открытая служба</w:t>
        </w:r>
      </w:hyperlink>
      <w:r>
        <w:rPr>
          <w:rFonts w:ascii="PT Astra Serif" w:eastAsia="PT Astra Serif" w:hAnsi="PT Astra Serif" w:cs="PT Astra Serif"/>
          <w:sz w:val="28"/>
          <w:szCs w:val="28"/>
          <w:highlight w:val="white"/>
        </w:rPr>
        <w:t>» / «</w:t>
      </w:r>
      <w:hyperlink r:id="rId11" w:history="1">
        <w:r>
          <w:rPr>
            <w:rFonts w:ascii="PT Astra Serif" w:eastAsia="PT Astra Serif" w:hAnsi="PT Astra Serif" w:cs="PT Astra Serif"/>
            <w:sz w:val="28"/>
            <w:szCs w:val="28"/>
            <w:highlight w:val="white"/>
          </w:rPr>
          <w:t>Статистика и аналитика</w:t>
        </w:r>
      </w:hyperlink>
      <w:r>
        <w:rPr>
          <w:rFonts w:ascii="PT Astra Serif" w:eastAsia="PT Astra Serif" w:hAnsi="PT Astra Serif" w:cs="PT Astra Serif"/>
          <w:sz w:val="28"/>
          <w:szCs w:val="28"/>
          <w:highlight w:val="white"/>
        </w:rPr>
        <w:t>» / «</w:t>
      </w:r>
      <w:hyperlink r:id="rId12" w:history="1">
        <w:r>
          <w:rPr>
            <w:rFonts w:ascii="PT Astra Serif" w:eastAsia="PT Astra Serif" w:hAnsi="PT Astra Serif" w:cs="PT Astra Serif"/>
            <w:sz w:val="28"/>
            <w:szCs w:val="28"/>
            <w:highlight w:val="white"/>
          </w:rPr>
          <w:t>Землеустройство и мониторинг земель</w:t>
        </w:r>
      </w:hyperlink>
      <w:r>
        <w:rPr>
          <w:rFonts w:ascii="PT Astra Serif" w:eastAsia="PT Astra Serif" w:hAnsi="PT Astra Serif" w:cs="PT Astra Serif"/>
          <w:sz w:val="28"/>
          <w:szCs w:val="28"/>
          <w:highlight w:val="white"/>
        </w:rPr>
        <w:t>» / «Мониторинг</w:t>
      </w:r>
      <w:r>
        <w:rPr>
          <w:rFonts w:ascii="PT Astra Serif" w:eastAsia="PT Astra Serif" w:hAnsi="PT Astra Serif" w:cs="PT Astra Serif"/>
          <w:sz w:val="28"/>
          <w:szCs w:val="28"/>
          <w:highlight w:val="white"/>
        </w:rPr>
        <w:t xml:space="preserve"> земель».</w:t>
      </w:r>
    </w:p>
    <w:p w:rsidR="00FD5F6A" w:rsidRDefault="00FD5F6A">
      <w:pPr>
        <w:ind w:firstLine="720"/>
        <w:jc w:val="both"/>
        <w:rPr>
          <w:sz w:val="26"/>
          <w:szCs w:val="26"/>
        </w:rPr>
      </w:pPr>
    </w:p>
    <w:p w:rsidR="00FD5F6A" w:rsidRDefault="00FD5F6A">
      <w:pPr>
        <w:tabs>
          <w:tab w:val="left" w:pos="709"/>
        </w:tabs>
        <w:spacing w:line="283" w:lineRule="exact"/>
        <w:ind w:firstLine="680"/>
        <w:jc w:val="both"/>
        <w:rPr>
          <w:rFonts w:ascii="PT Astra Serif" w:eastAsia="PT Astra Serif" w:hAnsi="PT Astra Serif" w:cs="PT Astra Serif"/>
          <w:sz w:val="28"/>
          <w:szCs w:val="28"/>
        </w:rPr>
      </w:pPr>
    </w:p>
    <w:p w:rsidR="00FD5F6A" w:rsidRDefault="00FD5F6A">
      <w:pPr>
        <w:spacing w:line="360" w:lineRule="auto"/>
        <w:ind w:firstLine="709"/>
        <w:jc w:val="both"/>
        <w:rPr>
          <w:sz w:val="28"/>
          <w:szCs w:val="28"/>
        </w:rPr>
      </w:pPr>
    </w:p>
    <w:p w:rsidR="00FD5F6A" w:rsidRDefault="00FD5F6A">
      <w:pPr>
        <w:jc w:val="both"/>
        <w:rPr>
          <w:sz w:val="28"/>
          <w:szCs w:val="28"/>
        </w:rPr>
      </w:pPr>
    </w:p>
    <w:p w:rsidR="00FD5F6A" w:rsidRDefault="0069499E">
      <w:pPr>
        <w:jc w:val="right"/>
        <w:rPr>
          <w:rFonts w:ascii="Segoe UI" w:eastAsia="Quattrocento Sans" w:hAnsi="Segoe UI" w:cs="Segoe UI"/>
          <w:b/>
          <w:i/>
          <w:color w:val="000000"/>
        </w:rPr>
      </w:pPr>
      <w:r>
        <w:rPr>
          <w:sz w:val="28"/>
          <w:szCs w:val="28"/>
        </w:rPr>
        <w:t xml:space="preserve">   </w:t>
      </w:r>
      <w:r>
        <w:rPr>
          <w:rFonts w:ascii="Segoe UI" w:eastAsia="Quattrocento Sans" w:hAnsi="Segoe UI" w:cs="Segoe UI"/>
          <w:b/>
          <w:i/>
          <w:color w:val="000000"/>
        </w:rPr>
        <w:t xml:space="preserve">материал подготовлен Управлением Росреестра </w:t>
      </w:r>
    </w:p>
    <w:p w:rsidR="00FD5F6A" w:rsidRDefault="0069499E">
      <w:pPr>
        <w:jc w:val="right"/>
        <w:rPr>
          <w:rFonts w:ascii="Segoe UI" w:eastAsia="Quattrocento Sans" w:hAnsi="Segoe UI" w:cs="Segoe UI"/>
          <w:b/>
          <w:i/>
          <w:color w:val="000000"/>
        </w:rPr>
      </w:pPr>
      <w:r>
        <w:rPr>
          <w:rFonts w:ascii="Segoe UI" w:eastAsia="Quattrocento Sans" w:hAnsi="Segoe UI" w:cs="Segoe UI"/>
          <w:b/>
          <w:i/>
          <w:color w:val="000000"/>
        </w:rPr>
        <w:t xml:space="preserve">по Новосибирской области </w:t>
      </w:r>
    </w:p>
    <w:p w:rsidR="00FD5F6A" w:rsidRDefault="00FD5F6A">
      <w:pPr>
        <w:jc w:val="right"/>
        <w:rPr>
          <w:rFonts w:ascii="Segoe UI" w:eastAsia="Quattrocento Sans" w:hAnsi="Segoe UI" w:cs="Segoe UI"/>
          <w:b/>
          <w:i/>
          <w:color w:val="000000"/>
        </w:rPr>
      </w:pPr>
    </w:p>
    <w:p w:rsidR="00FD5F6A" w:rsidRDefault="00FD5F6A">
      <w:pPr>
        <w:jc w:val="right"/>
        <w:rPr>
          <w:rFonts w:ascii="Segoe UI" w:hAnsi="Segoe UI" w:cs="Segoe UI"/>
          <w:b/>
          <w:bCs/>
          <w:i/>
          <w:iCs/>
          <w:color w:val="0070C0"/>
        </w:rPr>
      </w:pPr>
      <w:r w:rsidRPr="00FD5F6A">
        <w:pict>
          <v:shape id="shape 1" o:spid="_x0000_s1026" type="#_x0000_m1028" style="position:absolute;left:0;text-align:left;margin-left:-3.3pt;margin-top:7.1pt;width:490.5pt;height:0;z-index:251658240;mso-wrap-distance-left:9pt;mso-wrap-distance-top:0;mso-wrap-distance-right:9pt;mso-wrap-distance-bottom:0;mso-position-horizontal:absolute;mso-position-horizontal-relative:text;mso-position-vertical:absolute;mso-position-vertical-relative:text;o:allowoverlap:true; o:allowincell:true" coordsize="100000,100000" o:spt="100" o:preferrelative="t" adj="0,,0" path="m,l,100000r100000,l100000,xe" filled="f" strokecolor="#0070c0">
            <v:stroke joinstyle="round"/>
            <v:formulas/>
            <v:path o:connecttype="segments" textboxrect="0,0,100000,100000"/>
          </v:shape>
        </w:pict>
      </w:r>
    </w:p>
    <w:p w:rsidR="00FD5F6A" w:rsidRDefault="0069499E">
      <w:pPr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FD5F6A" w:rsidRDefault="0069499E">
      <w:pPr>
        <w:jc w:val="both"/>
        <w:rPr>
          <w:rFonts w:ascii="Segoe UI" w:hAnsi="Segoe UI" w:cs="Segoe UI"/>
          <w:b/>
          <w:bCs/>
        </w:rPr>
      </w:pPr>
      <w:proofErr w:type="gramStart"/>
      <w:r>
        <w:rPr>
          <w:rFonts w:ascii="Segoe UI" w:hAnsi="Segoe UI" w:cs="Segoe UI"/>
          <w:sz w:val="18"/>
          <w:szCs w:val="18"/>
        </w:rPr>
        <w:t>Управление Федеральной службы государственной регистрации, кадастра и картографии по Новосибирской области</w:t>
      </w:r>
      <w:r>
        <w:rPr>
          <w:rFonts w:ascii="Segoe UI" w:hAnsi="Segoe UI" w:cs="Segoe UI"/>
          <w:sz w:val="18"/>
          <w:szCs w:val="18"/>
        </w:rPr>
        <w:t xml:space="preserve">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</w:t>
      </w:r>
      <w:r>
        <w:rPr>
          <w:rFonts w:ascii="Segoe UI" w:hAnsi="Segoe UI" w:cs="Segoe UI"/>
          <w:sz w:val="18"/>
          <w:szCs w:val="18"/>
        </w:rPr>
        <w:t>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</w:t>
      </w:r>
      <w:proofErr w:type="gramEnd"/>
      <w:r>
        <w:rPr>
          <w:rFonts w:ascii="Segoe UI" w:hAnsi="Segoe UI" w:cs="Segoe UI"/>
          <w:sz w:val="18"/>
          <w:szCs w:val="18"/>
        </w:rPr>
        <w:t xml:space="preserve">, землеустройства, государственного мониторинга земель, </w:t>
      </w:r>
      <w:r>
        <w:rPr>
          <w:rFonts w:ascii="Segoe UI" w:hAnsi="Segoe UI" w:cs="Segoe UI"/>
          <w:sz w:val="18"/>
          <w:szCs w:val="18"/>
        </w:rPr>
        <w:t>лицензирования геодезической и картографической деятельности, а также функции в сфере геодезии и картографии, наименований географических объектов, по федеральному государственному контролю (надзору) в области геодезии и картографии, федеральному государст</w:t>
      </w:r>
      <w:r>
        <w:rPr>
          <w:rFonts w:ascii="Segoe UI" w:hAnsi="Segoe UI" w:cs="Segoe UI"/>
          <w:sz w:val="18"/>
          <w:szCs w:val="18"/>
        </w:rPr>
        <w:t>венному земельному контролю (надзору), государственной кадастровой оценке объектов недвижимости, федеральному государственному контролю (надзору) за деятельностью саморегулируемых организаций. Руководителем Управления Росреестра по Новосибирской области яв</w:t>
      </w:r>
      <w:r>
        <w:rPr>
          <w:rFonts w:ascii="Segoe UI" w:hAnsi="Segoe UI" w:cs="Segoe UI"/>
          <w:sz w:val="18"/>
          <w:szCs w:val="18"/>
        </w:rPr>
        <w:t xml:space="preserve">ляется Светлана Евгеньевна </w:t>
      </w:r>
      <w:proofErr w:type="spellStart"/>
      <w:r>
        <w:rPr>
          <w:rFonts w:ascii="Segoe UI" w:hAnsi="Segoe UI" w:cs="Segoe UI"/>
          <w:sz w:val="18"/>
          <w:szCs w:val="18"/>
        </w:rPr>
        <w:t>Рягузова</w:t>
      </w:r>
      <w:proofErr w:type="spellEnd"/>
      <w:r>
        <w:rPr>
          <w:rFonts w:ascii="Segoe UI" w:hAnsi="Segoe UI" w:cs="Segoe UI"/>
          <w:sz w:val="18"/>
          <w:szCs w:val="18"/>
        </w:rPr>
        <w:t>.</w:t>
      </w:r>
    </w:p>
    <w:p w:rsidR="00FD5F6A" w:rsidRDefault="00FD5F6A">
      <w:pPr>
        <w:tabs>
          <w:tab w:val="left" w:pos="1095"/>
        </w:tabs>
        <w:jc w:val="both"/>
        <w:rPr>
          <w:rFonts w:ascii="Segoe UI" w:hAnsi="Segoe UI" w:cs="Segoe UI"/>
          <w:b/>
          <w:color w:val="000000"/>
          <w:sz w:val="18"/>
        </w:rPr>
      </w:pPr>
    </w:p>
    <w:p w:rsidR="00FD5F6A" w:rsidRDefault="0069499E">
      <w:pPr>
        <w:tabs>
          <w:tab w:val="left" w:pos="1095"/>
        </w:tabs>
        <w:jc w:val="both"/>
        <w:rPr>
          <w:rFonts w:ascii="Segoe UI" w:hAnsi="Segoe UI" w:cs="Segoe UI"/>
          <w:b/>
          <w:color w:val="000000"/>
          <w:sz w:val="18"/>
        </w:rPr>
      </w:pPr>
      <w:r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FD5F6A" w:rsidRDefault="0069499E">
      <w:pPr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FD5F6A" w:rsidRDefault="0069499E">
      <w:pPr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630091, г. Новосибирск, ул. Державина, д. 28</w:t>
      </w:r>
    </w:p>
    <w:p w:rsidR="00FD5F6A" w:rsidRDefault="0069499E">
      <w:pPr>
        <w:jc w:val="both"/>
        <w:rPr>
          <w:rFonts w:ascii="Segoe UI" w:hAnsi="Segoe UI" w:cs="Segoe UI"/>
          <w:color w:val="000000"/>
          <w:sz w:val="18"/>
          <w:szCs w:val="18"/>
        </w:rPr>
      </w:pPr>
      <w:r w:rsidRPr="0069499E">
        <w:rPr>
          <w:rFonts w:ascii="Segoe UI" w:hAnsi="Segoe UI" w:cs="Segoe UI"/>
          <w:color w:val="000000"/>
          <w:sz w:val="18"/>
          <w:szCs w:val="18"/>
        </w:rPr>
        <w:t xml:space="preserve">Электронная почта: </w:t>
      </w:r>
    </w:p>
    <w:p w:rsidR="00FD5F6A" w:rsidRDefault="00FD5F6A">
      <w:pPr>
        <w:jc w:val="both"/>
        <w:rPr>
          <w:rFonts w:ascii="Segoe UI" w:hAnsi="Segoe UI" w:cs="Segoe UI"/>
          <w:color w:val="000000"/>
          <w:sz w:val="16"/>
          <w:szCs w:val="18"/>
        </w:rPr>
      </w:pPr>
      <w:hyperlink r:id="rId13" w:history="1">
        <w:r w:rsidR="0069499E">
          <w:rPr>
            <w:rStyle w:val="ac"/>
            <w:rFonts w:ascii="Segoe UI" w:hAnsi="Segoe UI" w:cs="Segoe UI"/>
            <w:sz w:val="18"/>
            <w:szCs w:val="20"/>
            <w:lang w:val="en-US"/>
          </w:rPr>
          <w:t>oko</w:t>
        </w:r>
        <w:r w:rsidR="0069499E" w:rsidRPr="0069499E">
          <w:rPr>
            <w:rStyle w:val="ac"/>
            <w:rFonts w:ascii="Segoe UI" w:hAnsi="Segoe UI" w:cs="Segoe UI"/>
            <w:sz w:val="18"/>
            <w:szCs w:val="20"/>
          </w:rPr>
          <w:t>@</w:t>
        </w:r>
        <w:r w:rsidR="0069499E">
          <w:rPr>
            <w:rStyle w:val="ac"/>
            <w:rFonts w:ascii="Segoe UI" w:hAnsi="Segoe UI" w:cs="Segoe UI"/>
            <w:sz w:val="18"/>
            <w:szCs w:val="20"/>
            <w:lang w:val="en-US"/>
          </w:rPr>
          <w:t>r</w:t>
        </w:r>
        <w:r w:rsidR="0069499E">
          <w:rPr>
            <w:rStyle w:val="ac"/>
            <w:rFonts w:ascii="Segoe UI" w:hAnsi="Segoe UI" w:cs="Segoe UI"/>
            <w:sz w:val="18"/>
            <w:szCs w:val="20"/>
          </w:rPr>
          <w:t>54</w:t>
        </w:r>
        <w:r w:rsidR="0069499E" w:rsidRPr="0069499E">
          <w:rPr>
            <w:rStyle w:val="ac"/>
            <w:rFonts w:ascii="Segoe UI" w:hAnsi="Segoe UI" w:cs="Segoe UI"/>
            <w:sz w:val="18"/>
            <w:szCs w:val="20"/>
          </w:rPr>
          <w:t>.</w:t>
        </w:r>
        <w:r w:rsidR="0069499E">
          <w:rPr>
            <w:rStyle w:val="ac"/>
            <w:rFonts w:ascii="Segoe UI" w:hAnsi="Segoe UI" w:cs="Segoe UI"/>
            <w:sz w:val="18"/>
            <w:szCs w:val="20"/>
            <w:lang w:val="en-US"/>
          </w:rPr>
          <w:t>rosreestr</w:t>
        </w:r>
        <w:r w:rsidR="0069499E" w:rsidRPr="0069499E">
          <w:rPr>
            <w:rStyle w:val="ac"/>
            <w:rFonts w:ascii="Segoe UI" w:hAnsi="Segoe UI" w:cs="Segoe UI"/>
            <w:sz w:val="18"/>
            <w:szCs w:val="20"/>
          </w:rPr>
          <w:t>.</w:t>
        </w:r>
        <w:r w:rsidR="0069499E">
          <w:rPr>
            <w:rStyle w:val="ac"/>
            <w:rFonts w:ascii="Segoe UI" w:hAnsi="Segoe UI" w:cs="Segoe UI"/>
            <w:sz w:val="18"/>
            <w:szCs w:val="20"/>
            <w:lang w:val="en-US"/>
          </w:rPr>
          <w:t>ru</w:t>
        </w:r>
      </w:hyperlink>
      <w:r w:rsidR="0069499E" w:rsidRPr="0069499E">
        <w:rPr>
          <w:rFonts w:ascii="Segoe UI" w:hAnsi="Segoe UI" w:cs="Segoe UI"/>
          <w:color w:val="000000"/>
          <w:sz w:val="16"/>
          <w:szCs w:val="18"/>
        </w:rPr>
        <w:t xml:space="preserve"> </w:t>
      </w:r>
    </w:p>
    <w:p w:rsidR="00FD5F6A" w:rsidRPr="0069499E" w:rsidRDefault="0069499E">
      <w:pPr>
        <w:jc w:val="both"/>
        <w:rPr>
          <w:rFonts w:ascii="Segoe UI" w:hAnsi="Segoe UI" w:cs="Segoe UI"/>
          <w:color w:val="000000"/>
          <w:sz w:val="18"/>
          <w:szCs w:val="18"/>
        </w:rPr>
      </w:pPr>
      <w:r w:rsidRPr="0069499E">
        <w:rPr>
          <w:rFonts w:ascii="Segoe UI" w:hAnsi="Segoe UI" w:cs="Segoe UI"/>
          <w:color w:val="000000"/>
          <w:sz w:val="18"/>
          <w:szCs w:val="18"/>
        </w:rPr>
        <w:t xml:space="preserve">Сайт: </w:t>
      </w:r>
      <w:hyperlink r:id="rId14" w:history="1">
        <w:r w:rsidRPr="0069499E">
          <w:rPr>
            <w:rFonts w:ascii="Segoe UI" w:hAnsi="Segoe UI" w:cs="Segoe UI"/>
            <w:color w:val="0000FF"/>
            <w:sz w:val="20"/>
            <w:szCs w:val="20"/>
            <w:u w:val="single"/>
          </w:rPr>
          <w:t>Росреестр</w:t>
        </w:r>
      </w:hyperlink>
    </w:p>
    <w:p w:rsidR="00FD5F6A" w:rsidRDefault="0069499E">
      <w:pPr>
        <w:jc w:val="both"/>
      </w:pPr>
      <w:proofErr w:type="spellStart"/>
      <w:r>
        <w:rPr>
          <w:rFonts w:ascii="Segoe UI" w:hAnsi="Segoe UI" w:cs="Segoe UI"/>
          <w:color w:val="000000"/>
          <w:sz w:val="18"/>
          <w:szCs w:val="18"/>
        </w:rPr>
        <w:t>Соцсети</w:t>
      </w:r>
      <w:proofErr w:type="spellEnd"/>
      <w:r>
        <w:rPr>
          <w:rFonts w:ascii="Segoe UI" w:hAnsi="Segoe UI" w:cs="Segoe UI"/>
          <w:color w:val="000000"/>
          <w:sz w:val="18"/>
          <w:szCs w:val="18"/>
        </w:rPr>
        <w:t xml:space="preserve">: </w:t>
      </w:r>
      <w:hyperlink r:id="rId15" w:history="1">
        <w:r w:rsidRPr="0069499E">
          <w:rPr>
            <w:rFonts w:ascii="Segoe UI" w:hAnsi="Segoe UI" w:cs="Segoe UI"/>
            <w:color w:val="0000FF"/>
            <w:sz w:val="18"/>
            <w:szCs w:val="18"/>
            <w:u w:val="single"/>
          </w:rPr>
          <w:t>ВКонтакте</w:t>
        </w:r>
      </w:hyperlink>
      <w:r>
        <w:rPr>
          <w:rFonts w:ascii="Segoe UI" w:hAnsi="Segoe UI" w:cs="Segoe UI"/>
          <w:color w:val="000000"/>
          <w:sz w:val="18"/>
          <w:szCs w:val="18"/>
        </w:rPr>
        <w:t xml:space="preserve">, </w:t>
      </w:r>
      <w:hyperlink r:id="rId16" w:history="1">
        <w:r>
          <w:rPr>
            <w:rStyle w:val="ac"/>
            <w:rFonts w:ascii="Segoe UI" w:hAnsi="Segoe UI" w:cs="Segoe UI"/>
            <w:sz w:val="18"/>
            <w:szCs w:val="18"/>
          </w:rPr>
          <w:t>Одноклассники</w:t>
        </w:r>
      </w:hyperlink>
      <w:r>
        <w:rPr>
          <w:rStyle w:val="ac"/>
          <w:rFonts w:ascii="Segoe UI" w:hAnsi="Segoe UI" w:cs="Segoe UI"/>
          <w:sz w:val="18"/>
          <w:szCs w:val="18"/>
        </w:rPr>
        <w:t xml:space="preserve">, </w:t>
      </w:r>
      <w:hyperlink r:id="rId17" w:history="1">
        <w:proofErr w:type="spellStart"/>
        <w:r w:rsidRPr="0069499E">
          <w:rPr>
            <w:rStyle w:val="ac"/>
            <w:rFonts w:ascii="Segoe UI" w:hAnsi="Segoe UI" w:cs="Segoe UI"/>
            <w:sz w:val="20"/>
            <w:szCs w:val="20"/>
          </w:rPr>
          <w:t>Яндекс</w:t>
        </w:r>
        <w:proofErr w:type="gramStart"/>
        <w:r>
          <w:rPr>
            <w:rStyle w:val="ac"/>
            <w:rFonts w:ascii="Segoe UI" w:hAnsi="Segoe UI" w:cs="Segoe UI"/>
            <w:sz w:val="20"/>
            <w:szCs w:val="20"/>
          </w:rPr>
          <w:t>.</w:t>
        </w:r>
        <w:r w:rsidRPr="0069499E">
          <w:rPr>
            <w:rStyle w:val="ac"/>
            <w:rFonts w:ascii="Segoe UI" w:hAnsi="Segoe UI" w:cs="Segoe UI"/>
            <w:sz w:val="20"/>
            <w:szCs w:val="20"/>
          </w:rPr>
          <w:t>Д</w:t>
        </w:r>
        <w:proofErr w:type="gramEnd"/>
        <w:r w:rsidRPr="0069499E">
          <w:rPr>
            <w:rStyle w:val="ac"/>
            <w:rFonts w:ascii="Segoe UI" w:hAnsi="Segoe UI" w:cs="Segoe UI"/>
            <w:sz w:val="20"/>
            <w:szCs w:val="20"/>
          </w:rPr>
          <w:t>зен</w:t>
        </w:r>
        <w:proofErr w:type="spellEnd"/>
      </w:hyperlink>
      <w:r>
        <w:rPr>
          <w:rStyle w:val="ac"/>
          <w:rFonts w:ascii="Segoe UI" w:hAnsi="Segoe UI" w:cs="Segoe UI"/>
          <w:sz w:val="20"/>
          <w:szCs w:val="20"/>
        </w:rPr>
        <w:t xml:space="preserve">, </w:t>
      </w:r>
      <w:hyperlink r:id="rId18" w:history="1">
        <w:proofErr w:type="spellStart"/>
        <w:r>
          <w:rPr>
            <w:rStyle w:val="ac"/>
            <w:rFonts w:ascii="Segoe UI" w:hAnsi="Segoe UI" w:cs="Segoe UI"/>
            <w:sz w:val="20"/>
          </w:rPr>
          <w:t>Телеграм</w:t>
        </w:r>
        <w:proofErr w:type="spellEnd"/>
      </w:hyperlink>
    </w:p>
    <w:p w:rsidR="00FD5F6A" w:rsidRDefault="00FD5F6A">
      <w:pPr>
        <w:jc w:val="both"/>
      </w:pPr>
    </w:p>
    <w:p w:rsidR="00FD5F6A" w:rsidRDefault="00FD5F6A">
      <w:pPr>
        <w:jc w:val="both"/>
      </w:pPr>
    </w:p>
    <w:p w:rsidR="00FD5F6A" w:rsidRDefault="00FD5F6A">
      <w:pPr>
        <w:jc w:val="both"/>
      </w:pPr>
    </w:p>
    <w:p w:rsidR="00FD5F6A" w:rsidRDefault="00FD5F6A">
      <w:pPr>
        <w:jc w:val="both"/>
      </w:pPr>
    </w:p>
    <w:p w:rsidR="00FD5F6A" w:rsidRDefault="00FD5F6A">
      <w:pPr>
        <w:jc w:val="both"/>
      </w:pPr>
    </w:p>
    <w:p w:rsidR="00FD5F6A" w:rsidRDefault="00FD5F6A">
      <w:pPr>
        <w:jc w:val="both"/>
      </w:pPr>
    </w:p>
    <w:p w:rsidR="00FD5F6A" w:rsidRDefault="00FD5F6A">
      <w:pPr>
        <w:jc w:val="both"/>
      </w:pPr>
    </w:p>
    <w:p w:rsidR="00FD5F6A" w:rsidRDefault="00FD5F6A">
      <w:pPr>
        <w:jc w:val="both"/>
      </w:pPr>
    </w:p>
    <w:p w:rsidR="00FD5F6A" w:rsidRDefault="00FD5F6A">
      <w:pPr>
        <w:jc w:val="both"/>
        <w:rPr>
          <w:sz w:val="28"/>
          <w:szCs w:val="28"/>
        </w:rPr>
      </w:pPr>
    </w:p>
    <w:p w:rsidR="00FD5F6A" w:rsidRDefault="00FD5F6A">
      <w:pPr>
        <w:jc w:val="both"/>
        <w:rPr>
          <w:sz w:val="28"/>
          <w:szCs w:val="28"/>
        </w:rPr>
      </w:pPr>
    </w:p>
    <w:sectPr w:rsidR="00FD5F6A" w:rsidSect="00FD5F6A">
      <w:pgSz w:w="11906" w:h="16838"/>
      <w:pgMar w:top="1134" w:right="850" w:bottom="1276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D5F6A" w:rsidRDefault="0069499E">
      <w:r>
        <w:separator/>
      </w:r>
    </w:p>
  </w:endnote>
  <w:endnote w:type="continuationSeparator" w:id="0">
    <w:p w:rsidR="00FD5F6A" w:rsidRDefault="0069499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PT Astra Serif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Quattrocento Sans"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D5F6A" w:rsidRDefault="0069499E">
      <w:r>
        <w:separator/>
      </w:r>
    </w:p>
  </w:footnote>
  <w:footnote w:type="continuationSeparator" w:id="0">
    <w:p w:rsidR="00FD5F6A" w:rsidRDefault="0069499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40D5F"/>
    <w:multiLevelType w:val="hybridMultilevel"/>
    <w:tmpl w:val="F3B64E9A"/>
    <w:lvl w:ilvl="0" w:tplc="DA325EE8">
      <w:start w:val="1"/>
      <w:numFmt w:val="decimal"/>
      <w:lvlText w:val="%1)"/>
      <w:lvlJc w:val="left"/>
      <w:pPr>
        <w:ind w:left="907" w:hanging="360"/>
      </w:pPr>
    </w:lvl>
    <w:lvl w:ilvl="1" w:tplc="4BCAEF8A">
      <w:start w:val="1"/>
      <w:numFmt w:val="lowerLetter"/>
      <w:lvlText w:val="%2."/>
      <w:lvlJc w:val="left"/>
      <w:pPr>
        <w:ind w:left="1627" w:hanging="360"/>
      </w:pPr>
    </w:lvl>
    <w:lvl w:ilvl="2" w:tplc="4080EADA">
      <w:start w:val="1"/>
      <w:numFmt w:val="lowerRoman"/>
      <w:lvlText w:val="%3."/>
      <w:lvlJc w:val="right"/>
      <w:pPr>
        <w:ind w:left="2347" w:hanging="180"/>
      </w:pPr>
    </w:lvl>
    <w:lvl w:ilvl="3" w:tplc="3378FE74">
      <w:start w:val="1"/>
      <w:numFmt w:val="decimal"/>
      <w:lvlText w:val="%4."/>
      <w:lvlJc w:val="left"/>
      <w:pPr>
        <w:ind w:left="3067" w:hanging="360"/>
      </w:pPr>
    </w:lvl>
    <w:lvl w:ilvl="4" w:tplc="64D84288">
      <w:start w:val="1"/>
      <w:numFmt w:val="lowerLetter"/>
      <w:lvlText w:val="%5."/>
      <w:lvlJc w:val="left"/>
      <w:pPr>
        <w:ind w:left="3787" w:hanging="360"/>
      </w:pPr>
    </w:lvl>
    <w:lvl w:ilvl="5" w:tplc="E16460F2">
      <w:start w:val="1"/>
      <w:numFmt w:val="lowerRoman"/>
      <w:lvlText w:val="%6."/>
      <w:lvlJc w:val="right"/>
      <w:pPr>
        <w:ind w:left="4507" w:hanging="180"/>
      </w:pPr>
    </w:lvl>
    <w:lvl w:ilvl="6" w:tplc="9DB0CF46">
      <w:start w:val="1"/>
      <w:numFmt w:val="decimal"/>
      <w:lvlText w:val="%7."/>
      <w:lvlJc w:val="left"/>
      <w:pPr>
        <w:ind w:left="5227" w:hanging="360"/>
      </w:pPr>
    </w:lvl>
    <w:lvl w:ilvl="7" w:tplc="696E1074">
      <w:start w:val="1"/>
      <w:numFmt w:val="lowerLetter"/>
      <w:lvlText w:val="%8."/>
      <w:lvlJc w:val="left"/>
      <w:pPr>
        <w:ind w:left="5947" w:hanging="360"/>
      </w:pPr>
    </w:lvl>
    <w:lvl w:ilvl="8" w:tplc="A3546348">
      <w:start w:val="1"/>
      <w:numFmt w:val="lowerRoman"/>
      <w:lvlText w:val="%9."/>
      <w:lvlJc w:val="right"/>
      <w:pPr>
        <w:ind w:left="6667" w:hanging="180"/>
      </w:pPr>
    </w:lvl>
  </w:abstractNum>
  <w:abstractNum w:abstractNumId="1">
    <w:nsid w:val="224D22E6"/>
    <w:multiLevelType w:val="hybridMultilevel"/>
    <w:tmpl w:val="0AB4FE40"/>
    <w:lvl w:ilvl="0" w:tplc="6D8AB560">
      <w:start w:val="1"/>
      <w:numFmt w:val="decimal"/>
      <w:lvlText w:val="%1."/>
      <w:lvlJc w:val="left"/>
      <w:pPr>
        <w:ind w:left="6740" w:hanging="360"/>
      </w:pPr>
    </w:lvl>
    <w:lvl w:ilvl="1" w:tplc="A3A449D0">
      <w:start w:val="1"/>
      <w:numFmt w:val="lowerLetter"/>
      <w:lvlText w:val="%2."/>
      <w:lvlJc w:val="left"/>
      <w:pPr>
        <w:ind w:left="1440" w:hanging="360"/>
      </w:pPr>
    </w:lvl>
    <w:lvl w:ilvl="2" w:tplc="41687E50">
      <w:start w:val="1"/>
      <w:numFmt w:val="lowerRoman"/>
      <w:lvlText w:val="%3."/>
      <w:lvlJc w:val="right"/>
      <w:pPr>
        <w:ind w:left="2160" w:hanging="180"/>
      </w:pPr>
    </w:lvl>
    <w:lvl w:ilvl="3" w:tplc="4B429B1E">
      <w:start w:val="1"/>
      <w:numFmt w:val="decimal"/>
      <w:lvlText w:val="%4."/>
      <w:lvlJc w:val="left"/>
      <w:pPr>
        <w:ind w:left="2880" w:hanging="360"/>
      </w:pPr>
    </w:lvl>
    <w:lvl w:ilvl="4" w:tplc="76901770">
      <w:start w:val="1"/>
      <w:numFmt w:val="lowerLetter"/>
      <w:lvlText w:val="%5."/>
      <w:lvlJc w:val="left"/>
      <w:pPr>
        <w:ind w:left="3600" w:hanging="360"/>
      </w:pPr>
    </w:lvl>
    <w:lvl w:ilvl="5" w:tplc="A61E3E8E">
      <w:start w:val="1"/>
      <w:numFmt w:val="lowerRoman"/>
      <w:lvlText w:val="%6."/>
      <w:lvlJc w:val="right"/>
      <w:pPr>
        <w:ind w:left="4320" w:hanging="180"/>
      </w:pPr>
    </w:lvl>
    <w:lvl w:ilvl="6" w:tplc="4A90D33E">
      <w:start w:val="1"/>
      <w:numFmt w:val="decimal"/>
      <w:lvlText w:val="%7."/>
      <w:lvlJc w:val="left"/>
      <w:pPr>
        <w:ind w:left="5040" w:hanging="360"/>
      </w:pPr>
    </w:lvl>
    <w:lvl w:ilvl="7" w:tplc="6B80AE2C">
      <w:start w:val="1"/>
      <w:numFmt w:val="lowerLetter"/>
      <w:lvlText w:val="%8."/>
      <w:lvlJc w:val="left"/>
      <w:pPr>
        <w:ind w:left="5760" w:hanging="360"/>
      </w:pPr>
    </w:lvl>
    <w:lvl w:ilvl="8" w:tplc="489AC03E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4B24EBD"/>
    <w:multiLevelType w:val="hybridMultilevel"/>
    <w:tmpl w:val="C5549C9C"/>
    <w:lvl w:ilvl="0" w:tplc="AEDA6C2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0CB85BD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678A771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FE68830E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3F3AEE0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9CD8863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E89AF384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A938666A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8B2A5EE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3">
    <w:nsid w:val="3C36189E"/>
    <w:multiLevelType w:val="hybridMultilevel"/>
    <w:tmpl w:val="27D80870"/>
    <w:lvl w:ilvl="0" w:tplc="0E1207EA">
      <w:start w:val="1"/>
      <w:numFmt w:val="decimal"/>
      <w:lvlText w:val="%1)"/>
      <w:lvlJc w:val="left"/>
      <w:pPr>
        <w:ind w:left="907" w:hanging="360"/>
      </w:pPr>
    </w:lvl>
    <w:lvl w:ilvl="1" w:tplc="F6861EB6">
      <w:start w:val="1"/>
      <w:numFmt w:val="lowerLetter"/>
      <w:lvlText w:val="%2."/>
      <w:lvlJc w:val="left"/>
      <w:pPr>
        <w:ind w:left="1627" w:hanging="360"/>
      </w:pPr>
    </w:lvl>
    <w:lvl w:ilvl="2" w:tplc="73282858">
      <w:start w:val="1"/>
      <w:numFmt w:val="lowerRoman"/>
      <w:lvlText w:val="%3."/>
      <w:lvlJc w:val="right"/>
      <w:pPr>
        <w:ind w:left="2347" w:hanging="180"/>
      </w:pPr>
    </w:lvl>
    <w:lvl w:ilvl="3" w:tplc="0CB25F94">
      <w:start w:val="1"/>
      <w:numFmt w:val="decimal"/>
      <w:lvlText w:val="%4."/>
      <w:lvlJc w:val="left"/>
      <w:pPr>
        <w:ind w:left="3067" w:hanging="360"/>
      </w:pPr>
    </w:lvl>
    <w:lvl w:ilvl="4" w:tplc="0B286C7C">
      <w:start w:val="1"/>
      <w:numFmt w:val="lowerLetter"/>
      <w:lvlText w:val="%5."/>
      <w:lvlJc w:val="left"/>
      <w:pPr>
        <w:ind w:left="3787" w:hanging="360"/>
      </w:pPr>
    </w:lvl>
    <w:lvl w:ilvl="5" w:tplc="6D9C854E">
      <w:start w:val="1"/>
      <w:numFmt w:val="lowerRoman"/>
      <w:lvlText w:val="%6."/>
      <w:lvlJc w:val="right"/>
      <w:pPr>
        <w:ind w:left="4507" w:hanging="180"/>
      </w:pPr>
    </w:lvl>
    <w:lvl w:ilvl="6" w:tplc="981CE2BC">
      <w:start w:val="1"/>
      <w:numFmt w:val="decimal"/>
      <w:lvlText w:val="%7."/>
      <w:lvlJc w:val="left"/>
      <w:pPr>
        <w:ind w:left="5227" w:hanging="360"/>
      </w:pPr>
    </w:lvl>
    <w:lvl w:ilvl="7" w:tplc="E7ECF3F6">
      <w:start w:val="1"/>
      <w:numFmt w:val="lowerLetter"/>
      <w:lvlText w:val="%8."/>
      <w:lvlJc w:val="left"/>
      <w:pPr>
        <w:ind w:left="5947" w:hanging="360"/>
      </w:pPr>
    </w:lvl>
    <w:lvl w:ilvl="8" w:tplc="D592FC3E">
      <w:start w:val="1"/>
      <w:numFmt w:val="lowerRoman"/>
      <w:lvlText w:val="%9."/>
      <w:lvlJc w:val="right"/>
      <w:pPr>
        <w:ind w:left="6667" w:hanging="180"/>
      </w:pPr>
    </w:lvl>
  </w:abstractNum>
  <w:abstractNum w:abstractNumId="4">
    <w:nsid w:val="43066E7F"/>
    <w:multiLevelType w:val="hybridMultilevel"/>
    <w:tmpl w:val="8772CB90"/>
    <w:lvl w:ilvl="0" w:tplc="E8B865E0">
      <w:start w:val="1"/>
      <w:numFmt w:val="decimal"/>
      <w:lvlText w:val="%1."/>
      <w:lvlJc w:val="left"/>
      <w:pPr>
        <w:ind w:left="720" w:hanging="360"/>
      </w:pPr>
    </w:lvl>
    <w:lvl w:ilvl="1" w:tplc="97F6306C">
      <w:start w:val="1"/>
      <w:numFmt w:val="lowerLetter"/>
      <w:lvlText w:val="%2."/>
      <w:lvlJc w:val="left"/>
      <w:pPr>
        <w:ind w:left="1440" w:hanging="360"/>
      </w:pPr>
    </w:lvl>
    <w:lvl w:ilvl="2" w:tplc="2B1C1710">
      <w:start w:val="1"/>
      <w:numFmt w:val="lowerRoman"/>
      <w:lvlText w:val="%3."/>
      <w:lvlJc w:val="right"/>
      <w:pPr>
        <w:ind w:left="2160" w:hanging="180"/>
      </w:pPr>
    </w:lvl>
    <w:lvl w:ilvl="3" w:tplc="47DAE080">
      <w:start w:val="1"/>
      <w:numFmt w:val="decimal"/>
      <w:lvlText w:val="%4."/>
      <w:lvlJc w:val="left"/>
      <w:pPr>
        <w:ind w:left="2880" w:hanging="360"/>
      </w:pPr>
    </w:lvl>
    <w:lvl w:ilvl="4" w:tplc="2E3C3772">
      <w:start w:val="1"/>
      <w:numFmt w:val="lowerLetter"/>
      <w:lvlText w:val="%5."/>
      <w:lvlJc w:val="left"/>
      <w:pPr>
        <w:ind w:left="3600" w:hanging="360"/>
      </w:pPr>
    </w:lvl>
    <w:lvl w:ilvl="5" w:tplc="7B247FD6">
      <w:start w:val="1"/>
      <w:numFmt w:val="lowerRoman"/>
      <w:lvlText w:val="%6."/>
      <w:lvlJc w:val="right"/>
      <w:pPr>
        <w:ind w:left="4320" w:hanging="180"/>
      </w:pPr>
    </w:lvl>
    <w:lvl w:ilvl="6" w:tplc="C8EA6AAE">
      <w:start w:val="1"/>
      <w:numFmt w:val="decimal"/>
      <w:lvlText w:val="%7."/>
      <w:lvlJc w:val="left"/>
      <w:pPr>
        <w:ind w:left="5040" w:hanging="360"/>
      </w:pPr>
    </w:lvl>
    <w:lvl w:ilvl="7" w:tplc="17E8946E">
      <w:start w:val="1"/>
      <w:numFmt w:val="lowerLetter"/>
      <w:lvlText w:val="%8."/>
      <w:lvlJc w:val="left"/>
      <w:pPr>
        <w:ind w:left="5760" w:hanging="360"/>
      </w:pPr>
    </w:lvl>
    <w:lvl w:ilvl="8" w:tplc="CF28E090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4F52A1B"/>
    <w:multiLevelType w:val="hybridMultilevel"/>
    <w:tmpl w:val="07C0952A"/>
    <w:lvl w:ilvl="0" w:tplc="E9DEA48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28E0A826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/>
      </w:rPr>
    </w:lvl>
    <w:lvl w:ilvl="2" w:tplc="51FCB22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394EBD8A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DC3685C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 w:tplc="1E2E316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6EA891C0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DCF674A6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 w:tplc="8DE032E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6">
    <w:nsid w:val="5FD24DD2"/>
    <w:multiLevelType w:val="hybridMultilevel"/>
    <w:tmpl w:val="767A87DE"/>
    <w:lvl w:ilvl="0" w:tplc="C5DC0E7A">
      <w:start w:val="1"/>
      <w:numFmt w:val="decimal"/>
      <w:lvlText w:val="%1)"/>
      <w:lvlJc w:val="left"/>
      <w:pPr>
        <w:ind w:left="720" w:hanging="360"/>
      </w:pPr>
    </w:lvl>
    <w:lvl w:ilvl="1" w:tplc="BF3855E0">
      <w:start w:val="1"/>
      <w:numFmt w:val="lowerLetter"/>
      <w:lvlText w:val="%2."/>
      <w:lvlJc w:val="left"/>
      <w:pPr>
        <w:ind w:left="1440" w:hanging="360"/>
      </w:pPr>
    </w:lvl>
    <w:lvl w:ilvl="2" w:tplc="D820F660">
      <w:start w:val="1"/>
      <w:numFmt w:val="lowerRoman"/>
      <w:lvlText w:val="%3."/>
      <w:lvlJc w:val="right"/>
      <w:pPr>
        <w:ind w:left="2160" w:hanging="180"/>
      </w:pPr>
    </w:lvl>
    <w:lvl w:ilvl="3" w:tplc="7A6AA61E">
      <w:start w:val="1"/>
      <w:numFmt w:val="decimal"/>
      <w:lvlText w:val="%4."/>
      <w:lvlJc w:val="left"/>
      <w:pPr>
        <w:ind w:left="2880" w:hanging="360"/>
      </w:pPr>
    </w:lvl>
    <w:lvl w:ilvl="4" w:tplc="7FFC614C">
      <w:start w:val="1"/>
      <w:numFmt w:val="lowerLetter"/>
      <w:lvlText w:val="%5."/>
      <w:lvlJc w:val="left"/>
      <w:pPr>
        <w:ind w:left="3600" w:hanging="360"/>
      </w:pPr>
    </w:lvl>
    <w:lvl w:ilvl="5" w:tplc="34564522">
      <w:start w:val="1"/>
      <w:numFmt w:val="lowerRoman"/>
      <w:lvlText w:val="%6."/>
      <w:lvlJc w:val="right"/>
      <w:pPr>
        <w:ind w:left="4320" w:hanging="180"/>
      </w:pPr>
    </w:lvl>
    <w:lvl w:ilvl="6" w:tplc="AF9ECDD6">
      <w:start w:val="1"/>
      <w:numFmt w:val="decimal"/>
      <w:lvlText w:val="%7."/>
      <w:lvlJc w:val="left"/>
      <w:pPr>
        <w:ind w:left="5040" w:hanging="360"/>
      </w:pPr>
    </w:lvl>
    <w:lvl w:ilvl="7" w:tplc="274610EE">
      <w:start w:val="1"/>
      <w:numFmt w:val="lowerLetter"/>
      <w:lvlText w:val="%8."/>
      <w:lvlJc w:val="left"/>
      <w:pPr>
        <w:ind w:left="5760" w:hanging="360"/>
      </w:pPr>
    </w:lvl>
    <w:lvl w:ilvl="8" w:tplc="F030208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36E386F"/>
    <w:multiLevelType w:val="hybridMultilevel"/>
    <w:tmpl w:val="8CC4B26A"/>
    <w:lvl w:ilvl="0" w:tplc="1D96694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619C1046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94FC12FE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F2765AD4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12B0715C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62523A4E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3236A0A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A628BAFA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8870B01C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num w:numId="1">
    <w:abstractNumId w:val="7"/>
  </w:num>
  <w:num w:numId="2">
    <w:abstractNumId w:val="2"/>
  </w:num>
  <w:num w:numId="3">
    <w:abstractNumId w:val="6"/>
  </w:num>
  <w:num w:numId="4">
    <w:abstractNumId w:val="0"/>
  </w:num>
  <w:num w:numId="5">
    <w:abstractNumId w:val="3"/>
  </w:num>
  <w:num w:numId="6">
    <w:abstractNumId w:val="5"/>
  </w:num>
  <w:num w:numId="7">
    <w:abstractNumId w:val="1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D5F6A"/>
    <w:rsid w:val="0069499E"/>
    <w:rsid w:val="00FD5F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5F6A"/>
    <w:rPr>
      <w:sz w:val="24"/>
      <w:szCs w:val="24"/>
      <w:lang w:eastAsia="ru-RU"/>
    </w:rPr>
  </w:style>
  <w:style w:type="paragraph" w:styleId="3">
    <w:name w:val="heading 3"/>
    <w:basedOn w:val="a"/>
    <w:qFormat/>
    <w:rsid w:val="00FD5F6A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Heading1Char"/>
    <w:uiPriority w:val="9"/>
    <w:qFormat/>
    <w:rsid w:val="00FD5F6A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link w:val="Heading1"/>
    <w:uiPriority w:val="9"/>
    <w:rsid w:val="00FD5F6A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FD5F6A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link w:val="Heading2"/>
    <w:uiPriority w:val="9"/>
    <w:rsid w:val="00FD5F6A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FD5F6A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link w:val="Heading3"/>
    <w:uiPriority w:val="9"/>
    <w:rsid w:val="00FD5F6A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FD5F6A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link w:val="Heading4"/>
    <w:uiPriority w:val="9"/>
    <w:rsid w:val="00FD5F6A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FD5F6A"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character" w:customStyle="1" w:styleId="Heading5Char">
    <w:name w:val="Heading 5 Char"/>
    <w:link w:val="Heading5"/>
    <w:uiPriority w:val="9"/>
    <w:rsid w:val="00FD5F6A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FD5F6A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link w:val="Heading6"/>
    <w:uiPriority w:val="9"/>
    <w:rsid w:val="00FD5F6A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FD5F6A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link w:val="Heading7"/>
    <w:uiPriority w:val="9"/>
    <w:rsid w:val="00FD5F6A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FD5F6A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link w:val="Heading8"/>
    <w:uiPriority w:val="9"/>
    <w:rsid w:val="00FD5F6A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FD5F6A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link w:val="Heading9"/>
    <w:uiPriority w:val="9"/>
    <w:rsid w:val="00FD5F6A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FD5F6A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4">
    <w:name w:val="No Spacing"/>
    <w:uiPriority w:val="1"/>
    <w:qFormat/>
    <w:rsid w:val="00FD5F6A"/>
  </w:style>
  <w:style w:type="paragraph" w:styleId="a5">
    <w:name w:val="Title"/>
    <w:basedOn w:val="a"/>
    <w:link w:val="a6"/>
    <w:qFormat/>
    <w:rsid w:val="00FD5F6A"/>
    <w:pPr>
      <w:ind w:firstLine="709"/>
      <w:jc w:val="center"/>
    </w:pPr>
    <w:rPr>
      <w:b/>
      <w:szCs w:val="20"/>
    </w:rPr>
  </w:style>
  <w:style w:type="character" w:customStyle="1" w:styleId="TitleChar">
    <w:name w:val="Title Char"/>
    <w:link w:val="a5"/>
    <w:uiPriority w:val="10"/>
    <w:rsid w:val="00FD5F6A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FD5F6A"/>
    <w:pPr>
      <w:spacing w:before="200" w:after="200"/>
    </w:pPr>
  </w:style>
  <w:style w:type="character" w:customStyle="1" w:styleId="a8">
    <w:name w:val="Подзаголовок Знак"/>
    <w:link w:val="a7"/>
    <w:uiPriority w:val="11"/>
    <w:rsid w:val="00FD5F6A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FD5F6A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FD5F6A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FD5F6A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FD5F6A"/>
    <w:rPr>
      <w:i/>
    </w:rPr>
  </w:style>
  <w:style w:type="paragraph" w:customStyle="1" w:styleId="Header">
    <w:name w:val="Header"/>
    <w:basedOn w:val="a"/>
    <w:link w:val="HeaderChar"/>
    <w:uiPriority w:val="99"/>
    <w:unhideWhenUsed/>
    <w:rsid w:val="00FD5F6A"/>
    <w:pPr>
      <w:tabs>
        <w:tab w:val="center" w:pos="7143"/>
        <w:tab w:val="right" w:pos="14287"/>
      </w:tabs>
    </w:pPr>
  </w:style>
  <w:style w:type="character" w:customStyle="1" w:styleId="HeaderChar">
    <w:name w:val="Header Char"/>
    <w:link w:val="Header"/>
    <w:uiPriority w:val="99"/>
    <w:rsid w:val="00FD5F6A"/>
  </w:style>
  <w:style w:type="paragraph" w:customStyle="1" w:styleId="Footer">
    <w:name w:val="Footer"/>
    <w:basedOn w:val="a"/>
    <w:link w:val="CaptionChar"/>
    <w:uiPriority w:val="99"/>
    <w:unhideWhenUsed/>
    <w:rsid w:val="00FD5F6A"/>
    <w:pPr>
      <w:tabs>
        <w:tab w:val="center" w:pos="7143"/>
        <w:tab w:val="right" w:pos="14287"/>
      </w:tabs>
    </w:pPr>
  </w:style>
  <w:style w:type="character" w:customStyle="1" w:styleId="FooterChar">
    <w:name w:val="Footer Char"/>
    <w:link w:val="Footer"/>
    <w:uiPriority w:val="99"/>
    <w:rsid w:val="00FD5F6A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FD5F6A"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FD5F6A"/>
  </w:style>
  <w:style w:type="table" w:styleId="ab">
    <w:name w:val="Table Grid"/>
    <w:basedOn w:val="a1"/>
    <w:rsid w:val="00FD5F6A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FD5F6A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sid w:val="00FD5F6A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uiPriority w:val="59"/>
    <w:rsid w:val="00FD5F6A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rsid w:val="00FD5F6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uiPriority w:val="99"/>
    <w:rsid w:val="00FD5F6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uiPriority w:val="99"/>
    <w:rsid w:val="00FD5F6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uiPriority w:val="99"/>
    <w:rsid w:val="00FD5F6A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rsid w:val="00FD5F6A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rsid w:val="00FD5F6A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rsid w:val="00FD5F6A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rsid w:val="00FD5F6A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rsid w:val="00FD5F6A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rsid w:val="00FD5F6A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uiPriority w:val="99"/>
    <w:rsid w:val="00FD5F6A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rsid w:val="00FD5F6A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rsid w:val="00FD5F6A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rsid w:val="00FD5F6A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rsid w:val="00FD5F6A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rsid w:val="00FD5F6A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rsid w:val="00FD5F6A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uiPriority w:val="99"/>
    <w:rsid w:val="00FD5F6A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rsid w:val="00FD5F6A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rsid w:val="00FD5F6A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rsid w:val="00FD5F6A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rsid w:val="00FD5F6A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rsid w:val="00FD5F6A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rsid w:val="00FD5F6A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uiPriority w:val="59"/>
    <w:rsid w:val="00FD5F6A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rsid w:val="00FD5F6A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rsid w:val="00FD5F6A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rsid w:val="00FD5F6A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rsid w:val="00FD5F6A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rsid w:val="00FD5F6A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rsid w:val="00FD5F6A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uiPriority w:val="99"/>
    <w:rsid w:val="00FD5F6A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rsid w:val="00FD5F6A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rsid w:val="00FD5F6A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rsid w:val="00FD5F6A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rsid w:val="00FD5F6A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rsid w:val="00FD5F6A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rsid w:val="00FD5F6A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uiPriority w:val="99"/>
    <w:rsid w:val="00FD5F6A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rsid w:val="00FD5F6A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rsid w:val="00FD5F6A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rsid w:val="00FD5F6A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rsid w:val="00FD5F6A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rsid w:val="00FD5F6A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rsid w:val="00FD5F6A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rsid w:val="00FD5F6A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rsid w:val="00FD5F6A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rsid w:val="00FD5F6A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rsid w:val="00FD5F6A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rsid w:val="00FD5F6A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rsid w:val="00FD5F6A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rsid w:val="00FD5F6A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rsid w:val="00FD5F6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rsid w:val="00FD5F6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rsid w:val="00FD5F6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rsid w:val="00FD5F6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rsid w:val="00FD5F6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rsid w:val="00FD5F6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rsid w:val="00FD5F6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uiPriority w:val="99"/>
    <w:rsid w:val="00FD5F6A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rsid w:val="00FD5F6A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rsid w:val="00FD5F6A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rsid w:val="00FD5F6A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rsid w:val="00FD5F6A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rsid w:val="00FD5F6A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rsid w:val="00FD5F6A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uiPriority w:val="99"/>
    <w:rsid w:val="00FD5F6A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rsid w:val="00FD5F6A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rsid w:val="00FD5F6A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rsid w:val="00FD5F6A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rsid w:val="00FD5F6A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rsid w:val="00FD5F6A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rsid w:val="00FD5F6A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uiPriority w:val="99"/>
    <w:rsid w:val="00FD5F6A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rsid w:val="00FD5F6A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rsid w:val="00FD5F6A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rsid w:val="00FD5F6A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rsid w:val="00FD5F6A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rsid w:val="00FD5F6A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rsid w:val="00FD5F6A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uiPriority w:val="99"/>
    <w:rsid w:val="00FD5F6A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rsid w:val="00FD5F6A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rsid w:val="00FD5F6A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rsid w:val="00FD5F6A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rsid w:val="00FD5F6A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rsid w:val="00FD5F6A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rsid w:val="00FD5F6A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uiPriority w:val="99"/>
    <w:rsid w:val="00FD5F6A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rsid w:val="00FD5F6A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rsid w:val="00FD5F6A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rsid w:val="00FD5F6A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rsid w:val="00FD5F6A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rsid w:val="00FD5F6A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rsid w:val="00FD5F6A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rsid w:val="00FD5F6A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rsid w:val="00FD5F6A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rsid w:val="00FD5F6A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rsid w:val="00FD5F6A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rsid w:val="00FD5F6A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rsid w:val="00FD5F6A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rsid w:val="00FD5F6A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sid w:val="00FD5F6A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uiPriority w:val="99"/>
    <w:rsid w:val="00FD5F6A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sid w:val="00FD5F6A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sid w:val="00FD5F6A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sid w:val="00FD5F6A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sid w:val="00FD5F6A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sid w:val="00FD5F6A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sid w:val="00FD5F6A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uiPriority w:val="99"/>
    <w:rsid w:val="00FD5F6A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sid w:val="00FD5F6A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sid w:val="00FD5F6A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sid w:val="00FD5F6A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sid w:val="00FD5F6A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sid w:val="00FD5F6A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rsid w:val="00FD5F6A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rsid w:val="00FD5F6A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rsid w:val="00FD5F6A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rsid w:val="00FD5F6A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rsid w:val="00FD5F6A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rsid w:val="00FD5F6A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rsid w:val="00FD5F6A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c">
    <w:name w:val="Hyperlink"/>
    <w:rsid w:val="00FD5F6A"/>
    <w:rPr>
      <w:color w:val="0000FF"/>
      <w:u w:val="single"/>
    </w:rPr>
  </w:style>
  <w:style w:type="paragraph" w:styleId="ad">
    <w:name w:val="footnote text"/>
    <w:basedOn w:val="a"/>
    <w:link w:val="ae"/>
    <w:uiPriority w:val="99"/>
    <w:semiHidden/>
    <w:unhideWhenUsed/>
    <w:rsid w:val="00FD5F6A"/>
    <w:pPr>
      <w:spacing w:after="40"/>
    </w:pPr>
    <w:rPr>
      <w:sz w:val="18"/>
    </w:rPr>
  </w:style>
  <w:style w:type="character" w:customStyle="1" w:styleId="ae">
    <w:name w:val="Текст сноски Знак"/>
    <w:link w:val="ad"/>
    <w:uiPriority w:val="99"/>
    <w:rsid w:val="00FD5F6A"/>
    <w:rPr>
      <w:sz w:val="18"/>
    </w:rPr>
  </w:style>
  <w:style w:type="character" w:styleId="af">
    <w:name w:val="footnote reference"/>
    <w:uiPriority w:val="99"/>
    <w:unhideWhenUsed/>
    <w:rsid w:val="00FD5F6A"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sid w:val="00FD5F6A"/>
    <w:rPr>
      <w:sz w:val="20"/>
    </w:rPr>
  </w:style>
  <w:style w:type="character" w:customStyle="1" w:styleId="af1">
    <w:name w:val="Текст концевой сноски Знак"/>
    <w:link w:val="af0"/>
    <w:uiPriority w:val="99"/>
    <w:rsid w:val="00FD5F6A"/>
    <w:rPr>
      <w:sz w:val="20"/>
    </w:rPr>
  </w:style>
  <w:style w:type="character" w:styleId="af2">
    <w:name w:val="endnote reference"/>
    <w:uiPriority w:val="99"/>
    <w:semiHidden/>
    <w:unhideWhenUsed/>
    <w:rsid w:val="00FD5F6A"/>
    <w:rPr>
      <w:vertAlign w:val="superscript"/>
    </w:rPr>
  </w:style>
  <w:style w:type="paragraph" w:styleId="1">
    <w:name w:val="toc 1"/>
    <w:basedOn w:val="a"/>
    <w:next w:val="a"/>
    <w:uiPriority w:val="39"/>
    <w:unhideWhenUsed/>
    <w:rsid w:val="00FD5F6A"/>
    <w:pPr>
      <w:spacing w:after="57"/>
    </w:pPr>
  </w:style>
  <w:style w:type="paragraph" w:styleId="21">
    <w:name w:val="toc 2"/>
    <w:basedOn w:val="a"/>
    <w:next w:val="a"/>
    <w:uiPriority w:val="39"/>
    <w:unhideWhenUsed/>
    <w:rsid w:val="00FD5F6A"/>
    <w:pPr>
      <w:spacing w:after="57"/>
      <w:ind w:left="283"/>
    </w:pPr>
  </w:style>
  <w:style w:type="paragraph" w:styleId="30">
    <w:name w:val="toc 3"/>
    <w:basedOn w:val="a"/>
    <w:next w:val="a"/>
    <w:uiPriority w:val="39"/>
    <w:unhideWhenUsed/>
    <w:rsid w:val="00FD5F6A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FD5F6A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FD5F6A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FD5F6A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FD5F6A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FD5F6A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FD5F6A"/>
    <w:pPr>
      <w:spacing w:after="57"/>
      <w:ind w:left="2268"/>
    </w:pPr>
  </w:style>
  <w:style w:type="paragraph" w:styleId="af3">
    <w:name w:val="TOC Heading"/>
    <w:uiPriority w:val="39"/>
    <w:unhideWhenUsed/>
    <w:rsid w:val="00FD5F6A"/>
  </w:style>
  <w:style w:type="paragraph" w:styleId="af4">
    <w:name w:val="table of figures"/>
    <w:basedOn w:val="a"/>
    <w:next w:val="a"/>
    <w:uiPriority w:val="99"/>
    <w:unhideWhenUsed/>
    <w:rsid w:val="00FD5F6A"/>
  </w:style>
  <w:style w:type="paragraph" w:styleId="af5">
    <w:name w:val="Balloon Text"/>
    <w:basedOn w:val="a"/>
    <w:semiHidden/>
    <w:rsid w:val="00FD5F6A"/>
    <w:rPr>
      <w:rFonts w:ascii="Tahoma" w:hAnsi="Tahoma" w:cs="Tahoma"/>
      <w:sz w:val="16"/>
      <w:szCs w:val="16"/>
    </w:rPr>
  </w:style>
  <w:style w:type="paragraph" w:styleId="af6">
    <w:name w:val="Body Text Indent"/>
    <w:basedOn w:val="a"/>
    <w:rsid w:val="00FD5F6A"/>
    <w:pPr>
      <w:spacing w:before="2400"/>
      <w:ind w:left="6481"/>
    </w:pPr>
    <w:rPr>
      <w:sz w:val="28"/>
      <w:szCs w:val="20"/>
    </w:rPr>
  </w:style>
  <w:style w:type="paragraph" w:styleId="af7">
    <w:name w:val="Body Text"/>
    <w:basedOn w:val="a"/>
    <w:rsid w:val="00FD5F6A"/>
    <w:pPr>
      <w:spacing w:after="120"/>
    </w:pPr>
  </w:style>
  <w:style w:type="paragraph" w:styleId="af8">
    <w:name w:val="Normal (Web)"/>
    <w:basedOn w:val="a"/>
    <w:uiPriority w:val="99"/>
    <w:rsid w:val="00FD5F6A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FD5F6A"/>
  </w:style>
  <w:style w:type="character" w:customStyle="1" w:styleId="visited">
    <w:name w:val="visited"/>
    <w:basedOn w:val="a0"/>
    <w:rsid w:val="00FD5F6A"/>
  </w:style>
  <w:style w:type="character" w:customStyle="1" w:styleId="blk">
    <w:name w:val="blk"/>
    <w:basedOn w:val="a0"/>
    <w:rsid w:val="00FD5F6A"/>
  </w:style>
  <w:style w:type="character" w:customStyle="1" w:styleId="match">
    <w:name w:val="match"/>
    <w:basedOn w:val="a0"/>
    <w:rsid w:val="00FD5F6A"/>
  </w:style>
  <w:style w:type="paragraph" w:customStyle="1" w:styleId="formattexttopleveltext">
    <w:name w:val="formattext topleveltext"/>
    <w:basedOn w:val="a"/>
    <w:rsid w:val="00FD5F6A"/>
    <w:pPr>
      <w:spacing w:before="100" w:beforeAutospacing="1" w:after="100" w:afterAutospacing="1"/>
    </w:pPr>
  </w:style>
  <w:style w:type="paragraph" w:styleId="22">
    <w:name w:val="Body Text Indent 2"/>
    <w:basedOn w:val="a"/>
    <w:rsid w:val="00FD5F6A"/>
    <w:pPr>
      <w:spacing w:after="120" w:line="480" w:lineRule="auto"/>
      <w:ind w:left="283"/>
    </w:pPr>
  </w:style>
  <w:style w:type="paragraph" w:customStyle="1" w:styleId="ConsPlusNormal">
    <w:name w:val="ConsPlusNormal"/>
    <w:link w:val="ConsPlusNormal0"/>
    <w:rsid w:val="00FD5F6A"/>
    <w:rPr>
      <w:sz w:val="26"/>
      <w:szCs w:val="26"/>
      <w:lang w:eastAsia="ru-RU"/>
    </w:rPr>
  </w:style>
  <w:style w:type="paragraph" w:customStyle="1" w:styleId="af9">
    <w:name w:val="Знак Знак Знак Знак Знак Знак Знак Знак Знак Знак Знак Знак"/>
    <w:basedOn w:val="a"/>
    <w:rsid w:val="00FD5F6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ConsPlusNormal0">
    <w:name w:val="ConsPlusNormal Знак"/>
    <w:link w:val="ConsPlusNormal"/>
    <w:rsid w:val="00FD5F6A"/>
    <w:rPr>
      <w:sz w:val="26"/>
      <w:szCs w:val="26"/>
      <w:lang w:val="ru-RU" w:eastAsia="ru-RU" w:bidi="ar-SA"/>
    </w:rPr>
  </w:style>
  <w:style w:type="character" w:customStyle="1" w:styleId="a6">
    <w:name w:val="Название Знак"/>
    <w:link w:val="a5"/>
    <w:rsid w:val="00FD5F6A"/>
    <w:rPr>
      <w:b/>
      <w:sz w:val="24"/>
      <w:lang w:val="ru-RU" w:eastAsia="ru-RU" w:bidi="ar-SA"/>
    </w:rPr>
  </w:style>
  <w:style w:type="character" w:styleId="afa">
    <w:name w:val="Strong"/>
    <w:uiPriority w:val="22"/>
    <w:qFormat/>
    <w:rsid w:val="00FD5F6A"/>
    <w:rPr>
      <w:b/>
      <w:bCs/>
    </w:rPr>
  </w:style>
  <w:style w:type="character" w:styleId="afb">
    <w:name w:val="Emphasis"/>
    <w:uiPriority w:val="20"/>
    <w:qFormat/>
    <w:rsid w:val="00FD5F6A"/>
    <w:rPr>
      <w:i/>
      <w:iCs/>
    </w:rPr>
  </w:style>
  <w:style w:type="paragraph" w:customStyle="1" w:styleId="Standard">
    <w:name w:val="Standard"/>
    <w:qFormat/>
    <w:rsid w:val="00FD5F6A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nil"/>
    </w:pPr>
    <w:rPr>
      <w:rFonts w:ascii="Liberation Serif" w:hAnsi="Liberation Serif" w:cs="Liberation Serif"/>
      <w:color w:val="000000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osreestr.gov.ru/open-service/statistika-i-analitika/zemleustroystvo-i-monitoring-zemel/monitoring-zemel/" TargetMode="External"/><Relationship Id="rId13" Type="http://schemas.openxmlformats.org/officeDocument/2006/relationships/hyperlink" Target="mailto:oko@r54.rosreestr.ru" TargetMode="External"/><Relationship Id="rId18" Type="http://schemas.openxmlformats.org/officeDocument/2006/relationships/hyperlink" Target="https://t.me/rosreestr_nsk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s://rosreestr.gov.ru/open-service/statistika-i-analitika/zemleustroystvo-i-monitoring-zemel/" TargetMode="External"/><Relationship Id="rId17" Type="http://schemas.openxmlformats.org/officeDocument/2006/relationships/hyperlink" Target="https://dzen.ru/rosreestr_nsk" TargetMode="External"/><Relationship Id="rId2" Type="http://schemas.openxmlformats.org/officeDocument/2006/relationships/styles" Target="styles.xml"/><Relationship Id="rId16" Type="http://schemas.openxmlformats.org/officeDocument/2006/relationships/hyperlink" Target="https://ok.ru/group/70000000987860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rosreestr.gov.ru/open-service/statistika-i-analitika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vk.com/rosreestr_nsk" TargetMode="External"/><Relationship Id="rId10" Type="http://schemas.openxmlformats.org/officeDocument/2006/relationships/hyperlink" Target="https://rosreestr.gov.ru/open-service/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rosreestr.gov.ru/" TargetMode="External"/><Relationship Id="rId14" Type="http://schemas.openxmlformats.org/officeDocument/2006/relationships/hyperlink" Target="https://rosreestr.gov.ru/" TargetMode="Externa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816</Words>
  <Characters>4656</Characters>
  <Application>Microsoft Office Word</Application>
  <DocSecurity>0</DocSecurity>
  <Lines>38</Lines>
  <Paragraphs>10</Paragraphs>
  <ScaleCrop>false</ScaleCrop>
  <Company/>
  <LinksUpToDate>false</LinksUpToDate>
  <CharactersWithSpaces>5462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Чтобы упростить процедуру предоставления государственных услуг, сократить ее сроки и сделать обслуживание более качественным и доступным, Управление Федеральной службы государственной регистрации, кадастра и картографии (далее - Росреестра) по Новосибирс</dc:title>
  <dc:creator>user</dc:creator>
  <cp:lastModifiedBy>Sidorova_LV</cp:lastModifiedBy>
  <cp:revision>304</cp:revision>
  <dcterms:created xsi:type="dcterms:W3CDTF">2009-04-08T02:19:00Z</dcterms:created>
  <dcterms:modified xsi:type="dcterms:W3CDTF">2025-07-15T10:00:00Z</dcterms:modified>
  <cp:version>917504</cp:version>
</cp:coreProperties>
</file>