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A48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1F194F1" wp14:editId="7BEBAF19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402F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02F" w:rsidRDefault="00BB402F" w:rsidP="00BB402F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Услуги Росреестра, НСПД</w:t>
      </w:r>
    </w:p>
    <w:p w:rsidR="00BB402F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CF2" w:rsidRPr="00BB402F" w:rsidRDefault="00345CF2" w:rsidP="00345CF2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b/>
          <w:sz w:val="28"/>
          <w:szCs w:val="28"/>
          <w:lang w:eastAsia="ru-RU"/>
        </w:rPr>
        <w:t>Сибирский федеральный округ – в тройке лидеров по площади выявленных территорий для жилищного строительства</w:t>
      </w:r>
    </w:p>
    <w:p w:rsidR="00345CF2" w:rsidRPr="00BB402F" w:rsidRDefault="00345CF2" w:rsidP="00345CF2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Правительство проводит системную работу по устойчивому развитию территорий. В том числе на эффективное вовлечение в оборот неиспользуемых земельных участков направлен проект Росреестра «Земля для стройки». Почти за четыре года с начала реализации этого проекта выявлено более 137 тыс. участков и территорий общей площадью около 182,7 тыс. га, которые можно использовать для жилищного строительства. 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В тройку лидеров по площади выявленных территорий традиционно вошёл Сибирский федеральный округ – здесь зафиксировано 11,4 тыс. участков площадью 25,8 тыс. га.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i/>
          <w:sz w:val="28"/>
          <w:szCs w:val="28"/>
          <w:lang w:eastAsia="ru-RU"/>
        </w:rPr>
        <w:t>«Совместно с регионами Росреестр продолжает развивать проект «Земля для стройки», увеличивая количество участников и территорий, которые можно эффективно задействовать для улучшения жилищных условий россиян. Из общего объёма выявленных земель для многоквартирной застройки можно использовать 14,9 тыс. участков площадью 57,9 тыс. га, а для индивидуального жилищного строительства – 122,3 тыс. участков площадью 124,8 тыс. га. Только за январь – апрель 2025 года выявлено 12,1 тыс. участков и территорий общей площадью 6,8 тыс. га. С начала действия проекта в оборот уже вовлечены 41,6 тыс. участков площадью 25,6 тыс. га, из них 1,4 тыс. га – в этом году»,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 – сообщил Заместитель Председателя Правительства </w:t>
      </w:r>
      <w:r w:rsidRPr="00BB402F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Марат Хуснуллин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. 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Лидерами по количеству и площади выявленных участков стали Приволжский и Центральный федеральные округа. Здесь зафиксировано 30 тыс. участков площадью более 40 тыс. га и 21,8 тыс. площадью 33,6 тыс. га соответственно. Это 40% от общей площади всех земель, выявленных в рамках проекта.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Среди регионов лучшие показатели у Краснодарского края (1,5 тыс. участков площадью 9,3 тыс. га), Московской (2,5 тыс. участков 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>площадью 9,2 тыс. га) и Свердловской областей (4,8 тыс. участков площадью 8,1 тыс. га).</w:t>
      </w:r>
      <w:bookmarkStart w:id="0" w:name="_GoBack"/>
      <w:bookmarkEnd w:id="0"/>
    </w:p>
    <w:p w:rsidR="009C492C" w:rsidRPr="00BB402F" w:rsidRDefault="009C492C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В Новосибирской области выявлено 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493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участк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а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, свободных для жилищного строительства, общей площадью 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2,7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тыс. га.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В оборот под жилищное строительство вовлечено 114 земельных участк</w:t>
      </w:r>
      <w:r w:rsidR="00107C3C" w:rsidRPr="00BB402F">
        <w:rPr>
          <w:rFonts w:ascii="Segoe UI" w:eastAsia="Times New Roman" w:hAnsi="Segoe UI" w:cs="Segoe UI"/>
          <w:sz w:val="28"/>
          <w:szCs w:val="28"/>
          <w:lang w:eastAsia="ru-RU"/>
        </w:rPr>
        <w:t>ов общей площадью более 337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га. Одним из крупных проектов, реализуемых на выявленных земельных участках, является микрорайон Клюквенный площадью 200 га – это флагманский проект развития северной части города Новосибирска. </w:t>
      </w:r>
    </w:p>
    <w:p w:rsidR="009C492C" w:rsidRPr="00BB402F" w:rsidRDefault="009C492C" w:rsidP="009C492C">
      <w:pPr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BB402F" w:rsidRPr="00141714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2FB08" wp14:editId="08F515D6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82C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BB402F" w:rsidRPr="00141714" w:rsidRDefault="00BB402F" w:rsidP="00BB402F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B402F" w:rsidRPr="00141714" w:rsidRDefault="00BB402F" w:rsidP="00BB402F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BB402F" w:rsidRPr="00141714" w:rsidRDefault="00BB402F" w:rsidP="00BB402F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BB402F" w:rsidRPr="00141714" w:rsidRDefault="00BB402F" w:rsidP="00BB402F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B402F" w:rsidRPr="00141714" w:rsidRDefault="00BB402F" w:rsidP="00BB402F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B402F" w:rsidRPr="00141714" w:rsidRDefault="00BB402F" w:rsidP="00BB402F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B402F" w:rsidRPr="00141714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BB402F" w:rsidRPr="00141714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7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7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7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BB402F" w:rsidRPr="00141714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BB402F" w:rsidRPr="00726E22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7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7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7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7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7D29B5" w:rsidRPr="00BB402F" w:rsidRDefault="007D29B5" w:rsidP="00345CF2">
      <w:pPr>
        <w:ind w:firstLine="709"/>
        <w:jc w:val="both"/>
        <w:rPr>
          <w:rFonts w:ascii="Segoe UI" w:hAnsi="Segoe UI" w:cs="Segoe UI"/>
          <w:color w:val="828282"/>
          <w:sz w:val="28"/>
          <w:szCs w:val="28"/>
          <w:shd w:val="clear" w:color="auto" w:fill="FFFFFF"/>
        </w:rPr>
      </w:pPr>
    </w:p>
    <w:sectPr w:rsidR="007D29B5" w:rsidRPr="00BB402F" w:rsidSect="00BB402F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81"/>
    <w:rsid w:val="000F7D32"/>
    <w:rsid w:val="00107C3C"/>
    <w:rsid w:val="00345CF2"/>
    <w:rsid w:val="0049658D"/>
    <w:rsid w:val="005006CC"/>
    <w:rsid w:val="007D29B5"/>
    <w:rsid w:val="0082275B"/>
    <w:rsid w:val="008476AD"/>
    <w:rsid w:val="00960D4C"/>
    <w:rsid w:val="009C492C"/>
    <w:rsid w:val="00A50A7D"/>
    <w:rsid w:val="00AB2981"/>
    <w:rsid w:val="00AB57E8"/>
    <w:rsid w:val="00AF0A48"/>
    <w:rsid w:val="00BB402F"/>
    <w:rsid w:val="00BF687A"/>
    <w:rsid w:val="00CF16D4"/>
    <w:rsid w:val="00F810AB"/>
    <w:rsid w:val="00FC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A469"/>
  <w15:chartTrackingRefBased/>
  <w15:docId w15:val="{9927088E-BD3E-4F3D-9F15-B5E3EACB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4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2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275B"/>
    <w:rPr>
      <w:rFonts w:ascii="Segoe UI" w:hAnsi="Segoe UI" w:cs="Segoe UI"/>
      <w:sz w:val="18"/>
      <w:szCs w:val="18"/>
    </w:rPr>
  </w:style>
  <w:style w:type="character" w:styleId="a7">
    <w:name w:val="Hyperlink"/>
    <w:rsid w:val="00BB4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3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55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4</cp:revision>
  <cp:lastPrinted>2025-05-26T10:04:00Z</cp:lastPrinted>
  <dcterms:created xsi:type="dcterms:W3CDTF">2025-05-26T11:06:00Z</dcterms:created>
  <dcterms:modified xsi:type="dcterms:W3CDTF">2025-05-27T01:12:00Z</dcterms:modified>
</cp:coreProperties>
</file>