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jc w:val="center"/>
        <w:rPr>
          <w:b/>
          <w:bCs/>
          <w:color w:val="5b9bd5"/>
          <w:sz w:val="28"/>
          <w:szCs w:val="28"/>
          <w:highlight w:val="none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   НСПД</w:t>
      </w:r>
      <w:r>
        <w:rPr>
          <w:b/>
          <w:color w:val="5b9bd5"/>
          <w:sz w:val="28"/>
          <w:szCs w:val="28"/>
        </w:rPr>
      </w:r>
      <w:r>
        <w:rPr>
          <w:b/>
          <w:bCs/>
          <w:color w:val="5b9bd5"/>
          <w:sz w:val="28"/>
          <w:szCs w:val="28"/>
          <w:highlight w:val="none"/>
        </w:rPr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color w:val="5b9bd5"/>
          <w:sz w:val="28"/>
          <w:szCs w:val="28"/>
        </w:rPr>
      </w:r>
    </w:p>
    <w:p>
      <w:pPr>
        <w:jc w:val="center"/>
        <w:rPr>
          <w:b/>
          <w:bCs/>
          <w:color w:val="5b9bd5"/>
          <w:sz w:val="28"/>
          <w:szCs w:val="28"/>
        </w:rPr>
      </w:pPr>
      <w:r>
        <w:rPr>
          <w:b/>
          <w:bCs/>
          <w:color w:val="5b9bd5"/>
          <w:sz w:val="28"/>
          <w:szCs w:val="28"/>
        </w:rPr>
      </w:r>
      <w:r>
        <w:rPr>
          <w:b/>
          <w:bCs/>
          <w:color w:val="5b9bd5"/>
          <w:sz w:val="28"/>
          <w:szCs w:val="28"/>
        </w:rPr>
      </w:r>
    </w:p>
    <w:p>
      <w:pPr>
        <w:jc w:val="center"/>
        <w:rPr>
          <w:b/>
          <w:bCs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  <w:highlight w:val="none"/>
        </w:rPr>
      </w:r>
      <w:r>
        <w:rPr>
          <w:b/>
          <w:color w:val="5b9bd5"/>
          <w:sz w:val="28"/>
          <w:szCs w:val="28"/>
          <w:highlight w:val="none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</w:t>
      </w:r>
      <w:r>
        <w:rPr>
          <w:rFonts w:ascii="Times New Roman" w:hAnsi="Times New Roman" w:cs="Times New Roman"/>
          <w:b/>
          <w:sz w:val="28"/>
          <w:szCs w:val="28"/>
        </w:rPr>
        <w:t xml:space="preserve">омплексны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>
        <w:rPr>
          <w:rFonts w:ascii="Times New Roman" w:hAnsi="Times New Roman" w:cs="Times New Roman"/>
          <w:b/>
          <w:sz w:val="28"/>
          <w:szCs w:val="28"/>
        </w:rPr>
        <w:t xml:space="preserve">кадастровы</w:t>
      </w:r>
      <w:r>
        <w:rPr>
          <w:rFonts w:ascii="Times New Roman" w:hAnsi="Times New Roman" w:cs="Times New Roman"/>
          <w:b/>
          <w:sz w:val="28"/>
          <w:szCs w:val="28"/>
        </w:rPr>
        <w:t xml:space="preserve">е</w:t>
      </w:r>
      <w:r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ы в Новосибирской области: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что необходимо знать собственникам участков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2025 году в Искитимском, Ордынском, Коченевском, Мошковском, Черепановс</w:t>
      </w:r>
      <w:r>
        <w:rPr>
          <w:rFonts w:ascii="Times New Roman" w:hAnsi="Times New Roman" w:cs="Times New Roman"/>
          <w:sz w:val="28"/>
          <w:szCs w:val="28"/>
        </w:rPr>
        <w:t xml:space="preserve">ком, Тогучинском, Колыванском, Венгеровском и Каргатском районах Новосибирской области проводятся комплексные кадастровые работы. Жители указанных районов получают извещения Росреестра о начале проведения таких работ в личном кабинете на портале Госуслуг.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«Росреестр действительно осуществляет официальное уведомление владельцев объектов недвижимости, расположенных в области проведения комплексных кадастровых работ, и это не связано с мошенничеством или взломом учетной записи»,</w:t>
      </w:r>
      <w:r>
        <w:rPr>
          <w:rFonts w:ascii="Times New Roman" w:hAnsi="Times New Roman" w:cs="Times New Roman"/>
          <w:sz w:val="28"/>
          <w:szCs w:val="28"/>
        </w:rPr>
        <w:t xml:space="preserve"> - сообщила заместитель руководителя Управления Росреестра по Новосибирской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Наталья Ивчатова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проведении комплексных кадастровых работ также опубликовывается на официальном сайте Росреестра в сети Интернет в разделе </w:t>
      </w:r>
      <w:hyperlink r:id="rId10" w:tooltip="https://rosreestr.gov.ru/open-service/statistika-i-analitika/kompleksnye-kadastrovye-rabotyNovosibirskayaOblast/" w:history="1">
        <w:r>
          <w:rPr>
            <w:rStyle w:val="830"/>
            <w:rFonts w:ascii="Times New Roman" w:hAnsi="Times New Roman" w:cs="Times New Roman"/>
            <w:sz w:val="28"/>
            <w:szCs w:val="28"/>
          </w:rPr>
          <w:t xml:space="preserve">Открытая служба / Статистика и аналитика / Комплексные кадастровые работы</w:t>
        </w:r>
      </w:hyperlink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Специалисты новосибирского Росреестра рекомендуют владельцам недвижимости проверить информацию о постановке на кадастровый учет земельного участка и дома</w:t>
      </w:r>
      <w:r>
        <w:rPr>
          <w:rFonts w:ascii="Times New Roman" w:hAnsi="Times New Roman" w:cs="Times New Roman"/>
          <w:sz w:val="28"/>
          <w:szCs w:val="28"/>
        </w:rPr>
        <w:t xml:space="preserve">, для этого достаточно заказать выписку из Единого государственного реестра недвижимости (ЕГРН) через портал Госуслуг. Если объект недвижимости отсутствует в ЕГРН, необходимо </w:t>
      </w:r>
      <w:r>
        <w:rPr>
          <w:rFonts w:ascii="Times New Roman" w:hAnsi="Times New Roman" w:cs="Times New Roman"/>
          <w:sz w:val="28"/>
          <w:szCs w:val="28"/>
        </w:rPr>
        <w:t xml:space="preserve">обратиться в администрацию муниципального образования (сельского поселения) для уточнения информации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процессе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проведения кадастровых работ.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комплексных кадастровых работ владельцы недвижимости могут принять активное участие в </w:t>
      </w:r>
      <w:r>
        <w:rPr>
          <w:rFonts w:ascii="Times New Roman" w:hAnsi="Times New Roman" w:cs="Times New Roman"/>
          <w:sz w:val="28"/>
          <w:szCs w:val="28"/>
        </w:rPr>
        <w:t xml:space="preserve">работе согласительных комиссий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муниципальных администрациях</w:t>
      </w:r>
      <w:r>
        <w:rPr>
          <w:rFonts w:ascii="Times New Roman" w:hAnsi="Times New Roman" w:cs="Times New Roman"/>
          <w:sz w:val="28"/>
          <w:szCs w:val="28"/>
        </w:rPr>
        <w:t xml:space="preserve">, 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принимают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 xml:space="preserve">утверждени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границ объектов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урегулир</w:t>
      </w:r>
      <w:r>
        <w:rPr>
          <w:rFonts w:ascii="Times New Roman" w:hAnsi="Times New Roman" w:cs="Times New Roman"/>
          <w:sz w:val="28"/>
          <w:szCs w:val="28"/>
        </w:rPr>
        <w:t xml:space="preserve">уют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возможны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спор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 между соседями. </w:t>
      </w:r>
      <w:r>
        <w:rPr>
          <w:rFonts w:ascii="Times New Roman" w:hAnsi="Times New Roman" w:cs="Times New Roman"/>
          <w:sz w:val="28"/>
          <w:szCs w:val="28"/>
        </w:rPr>
        <w:t xml:space="preserve">С информацией о заседаниях согласительных комиссий можно ознакомиться на официальном сайте Росреестра в сети Интернет.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Комплексные кадастровые работы направлены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реестровых ошибок, уточнение границ и повышение точности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сведений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ЕГРН. Это особенно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тех, кто сталкивался с проблемами при оформлении документов или имел конфликты с соседями из-за неточно определенных границ участков.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1106"/>
        <w:jc w:val="both"/>
        <w:spacing w:line="360" w:lineRule="auto"/>
        <w:tabs>
          <w:tab w:val="left" w:pos="110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jc w:val="both"/>
        <w:tabs>
          <w:tab w:val="left" w:pos="709" w:leader="none"/>
          <w:tab w:val="left" w:pos="993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57"/>
          <w:rFonts w:ascii="Segoe UI" w:hAnsi="Segoe UI" w:cs="Segoe UI"/>
          <w:sz w:val="18"/>
          <w:szCs w:val="20"/>
        </w:rPr>
        <w:t xml:space="preserve">54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848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57"/>
          <w:rFonts w:ascii="Segoe UI" w:hAnsi="Segoe UI" w:cs="Segoe UI"/>
          <w:sz w:val="18"/>
          <w:szCs w:val="18"/>
        </w:rPr>
        <w:fldChar w:fldCharType="end"/>
      </w:r>
      <w:r>
        <w:rPr>
          <w:rStyle w:val="857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57"/>
          <w:rFonts w:ascii="Segoe UI" w:hAnsi="Segoe UI" w:cs="Segoe UI"/>
          <w:sz w:val="20"/>
          <w:szCs w:val="20"/>
        </w:rPr>
        <w:t xml:space="preserve">.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57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</w:rPr>
        <w:t xml:space="preserve">Телеграм</w:t>
      </w:r>
      <w:r>
        <w:rPr>
          <w:rStyle w:val="857"/>
          <w:rFonts w:ascii="Segoe UI" w:hAnsi="Segoe UI" w:cs="Segoe UI"/>
          <w:sz w:val="20"/>
        </w:rPr>
        <w:fldChar w:fldCharType="end"/>
      </w:r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Liberation Serif">
    <w:panose1 w:val="020206030504050203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rPr>
      <w:sz w:val="24"/>
      <w:szCs w:val="24"/>
      <w:lang w:val="ru-RU" w:eastAsia="ru-RU" w:bidi="ar-SA"/>
    </w:rPr>
  </w:style>
  <w:style w:type="paragraph" w:styleId="849">
    <w:name w:val="Заголовок 3"/>
    <w:basedOn w:val="848"/>
    <w:next w:val="849"/>
    <w:link w:val="848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0">
    <w:name w:val="Основной шрифт абзаца"/>
    <w:next w:val="850"/>
    <w:link w:val="848"/>
    <w:semiHidden/>
  </w:style>
  <w:style w:type="table" w:styleId="851">
    <w:name w:val="Обычная таблица"/>
    <w:next w:val="851"/>
    <w:link w:val="848"/>
    <w:semiHidden/>
    <w:tblPr/>
  </w:style>
  <w:style w:type="numbering" w:styleId="852">
    <w:name w:val="Нет списка"/>
    <w:next w:val="852"/>
    <w:link w:val="848"/>
    <w:semiHidden/>
  </w:style>
  <w:style w:type="paragraph" w:styleId="853">
    <w:name w:val="Текст выноски"/>
    <w:basedOn w:val="848"/>
    <w:next w:val="853"/>
    <w:link w:val="848"/>
    <w:semiHidden/>
    <w:rPr>
      <w:rFonts w:ascii="Tahoma" w:hAnsi="Tahoma" w:cs="Tahoma"/>
      <w:sz w:val="16"/>
      <w:szCs w:val="16"/>
    </w:rPr>
  </w:style>
  <w:style w:type="table" w:styleId="854">
    <w:name w:val="Сетка таблицы"/>
    <w:basedOn w:val="851"/>
    <w:next w:val="854"/>
    <w:link w:val="848"/>
    <w:tblPr/>
  </w:style>
  <w:style w:type="paragraph" w:styleId="855">
    <w:name w:val="Основной текст с отступом"/>
    <w:basedOn w:val="848"/>
    <w:next w:val="855"/>
    <w:link w:val="848"/>
    <w:pPr>
      <w:ind w:left="6481"/>
      <w:spacing w:before="2400"/>
    </w:pPr>
    <w:rPr>
      <w:sz w:val="28"/>
      <w:szCs w:val="20"/>
    </w:rPr>
  </w:style>
  <w:style w:type="paragraph" w:styleId="856">
    <w:name w:val="Основной текст"/>
    <w:basedOn w:val="848"/>
    <w:next w:val="856"/>
    <w:link w:val="848"/>
    <w:pPr>
      <w:spacing w:after="120"/>
    </w:pPr>
  </w:style>
  <w:style w:type="character" w:styleId="857">
    <w:name w:val="Гиперссылка"/>
    <w:next w:val="857"/>
    <w:link w:val="848"/>
    <w:rPr>
      <w:color w:val="0000ff"/>
      <w:u w:val="single"/>
    </w:rPr>
  </w:style>
  <w:style w:type="paragraph" w:styleId="858">
    <w:name w:val="Обычный (веб)"/>
    <w:basedOn w:val="848"/>
    <w:next w:val="858"/>
    <w:link w:val="848"/>
    <w:uiPriority w:val="99"/>
    <w:pPr>
      <w:spacing w:before="100" w:beforeAutospacing="1" w:after="100" w:afterAutospacing="1"/>
    </w:pPr>
  </w:style>
  <w:style w:type="character" w:styleId="859">
    <w:name w:val="apple-converted-space"/>
    <w:basedOn w:val="850"/>
    <w:next w:val="859"/>
    <w:link w:val="848"/>
  </w:style>
  <w:style w:type="character" w:styleId="860">
    <w:name w:val="visited"/>
    <w:basedOn w:val="850"/>
    <w:next w:val="860"/>
    <w:link w:val="848"/>
  </w:style>
  <w:style w:type="character" w:styleId="861">
    <w:name w:val="blk"/>
    <w:basedOn w:val="850"/>
    <w:next w:val="861"/>
    <w:link w:val="848"/>
  </w:style>
  <w:style w:type="character" w:styleId="862">
    <w:name w:val="match"/>
    <w:basedOn w:val="850"/>
    <w:next w:val="862"/>
    <w:link w:val="848"/>
  </w:style>
  <w:style w:type="paragraph" w:styleId="863">
    <w:name w:val="formattext topleveltext"/>
    <w:basedOn w:val="848"/>
    <w:next w:val="863"/>
    <w:link w:val="848"/>
    <w:pPr>
      <w:spacing w:before="100" w:beforeAutospacing="1" w:after="100" w:afterAutospacing="1"/>
    </w:pPr>
  </w:style>
  <w:style w:type="paragraph" w:styleId="864">
    <w:name w:val="Основной текст с отступом 2"/>
    <w:basedOn w:val="848"/>
    <w:next w:val="864"/>
    <w:link w:val="848"/>
    <w:pPr>
      <w:ind w:left="283"/>
      <w:spacing w:after="120" w:line="480" w:lineRule="auto"/>
    </w:pPr>
  </w:style>
  <w:style w:type="paragraph" w:styleId="865">
    <w:name w:val="ConsPlusNormal"/>
    <w:next w:val="865"/>
    <w:link w:val="867"/>
    <w:rPr>
      <w:sz w:val="26"/>
      <w:szCs w:val="26"/>
      <w:lang w:val="ru-RU" w:eastAsia="ru-RU" w:bidi="ar-SA"/>
    </w:rPr>
  </w:style>
  <w:style w:type="paragraph" w:styleId="866">
    <w:name w:val="Знак Знак Знак Знак Знак Знак Знак Знак Знак Знак Знак Знак"/>
    <w:basedOn w:val="848"/>
    <w:next w:val="866"/>
    <w:link w:val="848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67">
    <w:name w:val="ConsPlusNormal Знак"/>
    <w:next w:val="867"/>
    <w:link w:val="865"/>
    <w:rPr>
      <w:sz w:val="26"/>
      <w:szCs w:val="26"/>
      <w:lang w:val="ru-RU" w:eastAsia="ru-RU" w:bidi="ar-SA"/>
    </w:rPr>
  </w:style>
  <w:style w:type="paragraph" w:styleId="868">
    <w:name w:val="Название"/>
    <w:basedOn w:val="848"/>
    <w:next w:val="868"/>
    <w:link w:val="869"/>
    <w:qFormat/>
    <w:pPr>
      <w:ind w:firstLine="709"/>
      <w:jc w:val="center"/>
    </w:pPr>
    <w:rPr>
      <w:b/>
      <w:szCs w:val="20"/>
    </w:rPr>
  </w:style>
  <w:style w:type="character" w:styleId="869">
    <w:name w:val="Название Знак"/>
    <w:next w:val="869"/>
    <w:link w:val="868"/>
    <w:rPr>
      <w:b/>
      <w:sz w:val="24"/>
      <w:lang w:val="ru-RU" w:eastAsia="ru-RU" w:bidi="ar-SA"/>
    </w:rPr>
  </w:style>
  <w:style w:type="paragraph" w:styleId="870">
    <w:name w:val="Абзац списка"/>
    <w:basedOn w:val="848"/>
    <w:next w:val="870"/>
    <w:link w:val="848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871">
    <w:name w:val="Строгий"/>
    <w:next w:val="871"/>
    <w:link w:val="848"/>
    <w:uiPriority w:val="22"/>
    <w:qFormat/>
    <w:rPr>
      <w:b/>
      <w:bCs/>
    </w:rPr>
  </w:style>
  <w:style w:type="character" w:styleId="872">
    <w:name w:val="Выделение"/>
    <w:next w:val="872"/>
    <w:link w:val="848"/>
    <w:uiPriority w:val="20"/>
    <w:qFormat/>
    <w:rPr>
      <w:i/>
      <w:iCs/>
    </w:r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table" w:styleId="875" w:default="1">
    <w:name w:val="Normal Table"/>
    <w:uiPriority w:val="99"/>
    <w:semiHidden/>
    <w:unhideWhenUsed/>
    <w:tblPr/>
  </w:style>
  <w:style w:type="paragraph" w:styleId="876" w:customStyle="1">
    <w:name w:val="Standard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Liberation Serif" w:hAnsi="Liberation Serif" w:eastAsia="Segoe UI" w:cs="Tahoma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hi-IN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rosreestr.gov.ru/open-service/statistika-i-analitika/kompleksnye-kadastrovye-rabotyNovosibirskayaOblast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304</cp:revision>
  <dcterms:created xsi:type="dcterms:W3CDTF">2009-04-08T02:19:00Z</dcterms:created>
  <dcterms:modified xsi:type="dcterms:W3CDTF">2025-05-06T09:13:42Z</dcterms:modified>
  <cp:version>917504</cp:version>
</cp:coreProperties>
</file>