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2"/>
        <w:rPr>
          <w:b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43443" cy="74954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18520" t="24634" r="12819" b="33795"/>
                        <a:stretch/>
                      </pic:blipFill>
                      <pic:spPr bwMode="auto">
                        <a:xfrm>
                          <a:off x="0" y="0"/>
                          <a:ext cx="1743443" cy="74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7.28pt;height:59.02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2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2"/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РОСРЕЕСТР РАЗЪЯСНЯЕТ</w:t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632"/>
        <w:jc w:val="right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63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63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Что необходимо знать владельцам земельных участков: изменения вступили в силу 1 марта 2025 года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 марта 2025 года внесены важны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 изменения в законодательство об использовании земельных участков.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Федеральный закон от 08.08.2024 № 307-ФЗ </w:t>
      </w:r>
      <w:r>
        <w:rPr>
          <w:rFonts w:ascii="Times New Roman" w:hAnsi="Times New Roman" w:cs="Times New Roman"/>
          <w:sz w:val="28"/>
          <w:szCs w:val="28"/>
        </w:rPr>
        <w:t xml:space="preserve">установил</w:t>
      </w:r>
      <w:r>
        <w:rPr>
          <w:rFonts w:ascii="Times New Roman" w:hAnsi="Times New Roman" w:cs="Times New Roman"/>
          <w:sz w:val="28"/>
          <w:szCs w:val="28"/>
        </w:rPr>
        <w:t xml:space="preserve"> трехлетний срок для освоения земельных участков, расположенных в границах населенных пунктов, садовых и огородных земельных участков.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Освоить землю – значит привести участок в состояние, пригодное для использования по целевому назначению и в соответствии с установленным в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дом разреше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ного </w:t>
      </w:r>
      <w:r>
        <w:rPr>
          <w:rFonts w:ascii="Times New Roman" w:hAnsi="Times New Roman" w:cs="Times New Roman"/>
          <w:sz w:val="28"/>
          <w:szCs w:val="28"/>
        </w:rPr>
        <w:t xml:space="preserve">использования: провести корчевание, осушение, очистку от сорняков и т.д. По тем участкам, которые на 1 марта 20</w:t>
      </w:r>
      <w:r>
        <w:rPr>
          <w:rFonts w:ascii="Times New Roman" w:hAnsi="Times New Roman" w:cs="Times New Roman"/>
          <w:sz w:val="28"/>
          <w:szCs w:val="28"/>
        </w:rPr>
        <w:t xml:space="preserve">25 года уже в собственности, трехлетний срок на освоение исчисляется с 1 марта 2025 года. По участкам, которые будут переданы в собственность после 1 марта 2025 года, срок освоения исчисляется с момента регистрации права собственности на земельный участок.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21212"/>
          <w:sz w:val="28"/>
          <w:szCs w:val="28"/>
        </w:rPr>
        <w:t xml:space="preserve">Задача принятых норм — не наказа</w:t>
      </w:r>
      <w:r>
        <w:rPr>
          <w:rFonts w:ascii="Times New Roman" w:hAnsi="Times New Roman" w:cs="Times New Roman"/>
          <w:color w:val="121212"/>
          <w:sz w:val="28"/>
          <w:szCs w:val="28"/>
        </w:rPr>
        <w:t xml:space="preserve">ть</w:t>
      </w:r>
      <w:r>
        <w:rPr>
          <w:rFonts w:ascii="Times New Roman" w:hAnsi="Times New Roman" w:cs="Times New Roman"/>
          <w:color w:val="121212"/>
          <w:sz w:val="28"/>
          <w:szCs w:val="28"/>
        </w:rPr>
        <w:t xml:space="preserve"> собственников или изъят</w:t>
      </w:r>
      <w:r>
        <w:rPr>
          <w:rFonts w:ascii="Times New Roman" w:hAnsi="Times New Roman" w:cs="Times New Roman"/>
          <w:color w:val="121212"/>
          <w:sz w:val="28"/>
          <w:szCs w:val="28"/>
        </w:rPr>
        <w:t xml:space="preserve">ь</w:t>
      </w:r>
      <w:r>
        <w:rPr>
          <w:rFonts w:ascii="Times New Roman" w:hAnsi="Times New Roman" w:cs="Times New Roman"/>
          <w:color w:val="121212"/>
          <w:sz w:val="28"/>
          <w:szCs w:val="28"/>
        </w:rPr>
        <w:t xml:space="preserve"> у них земельны</w:t>
      </w:r>
      <w:r>
        <w:rPr>
          <w:rFonts w:ascii="Times New Roman" w:hAnsi="Times New Roman" w:cs="Times New Roman"/>
          <w:color w:val="121212"/>
          <w:sz w:val="28"/>
          <w:szCs w:val="28"/>
        </w:rPr>
        <w:t xml:space="preserve">е</w:t>
      </w:r>
      <w:r>
        <w:rPr>
          <w:rFonts w:ascii="Times New Roman" w:hAnsi="Times New Roman" w:cs="Times New Roman"/>
          <w:color w:val="121212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color w:val="121212"/>
          <w:sz w:val="28"/>
          <w:szCs w:val="28"/>
        </w:rPr>
        <w:t xml:space="preserve">и</w:t>
      </w:r>
      <w:bookmarkStart w:id="0" w:name="undefined"/>
      <w:r/>
      <w:bookmarkEnd w:id="0"/>
      <w:r>
        <w:rPr>
          <w:rFonts w:ascii="Times New Roman" w:hAnsi="Times New Roman" w:cs="Times New Roman"/>
          <w:color w:val="121212"/>
          <w:sz w:val="28"/>
          <w:szCs w:val="28"/>
        </w:rPr>
        <w:t xml:space="preserve">, а именно их возвращение на свои земельные участки для обеспечения надлежащего использования</w:t>
      </w:r>
      <w:r>
        <w:rPr>
          <w:rFonts w:ascii="Times New Roman" w:hAnsi="Times New Roman" w:cs="Times New Roman"/>
          <w:color w:val="121212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Неосвоение</w:t>
      </w:r>
      <w:r>
        <w:rPr>
          <w:rFonts w:ascii="Times New Roman" w:hAnsi="Times New Roman" w:cs="Times New Roman"/>
          <w:sz w:val="28"/>
          <w:szCs w:val="28"/>
        </w:rPr>
        <w:t xml:space="preserve"> земельного участка в установленный срок не является основанием для его изъятия. Владельцы земельных участков, на которых будут выявлены признаки неиспользования, смогут устранить нарушения самостоятельно в установленном порядке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предписания, вынесенного органо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 по контролю (надзору)</w:t>
      </w:r>
      <w:r>
        <w:rPr>
          <w:rFonts w:ascii="Times New Roman" w:hAnsi="Times New Roman" w:cs="Times New Roman"/>
          <w:sz w:val="28"/>
          <w:szCs w:val="28"/>
        </w:rPr>
        <w:t xml:space="preserve"> в сфере земельного законодательства.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32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0,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632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</w:p>
    <w:p>
      <w:pPr>
        <w:pStyle w:val="632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632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32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32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641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641"/>
          <w:rFonts w:ascii="Segoe UI" w:hAnsi="Segoe UI" w:cs="Segoe UI"/>
          <w:sz w:val="18"/>
          <w:szCs w:val="20"/>
        </w:rPr>
        <w:t xml:space="preserve">54</w:t>
      </w:r>
      <w:r>
        <w:rPr>
          <w:rStyle w:val="641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641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632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641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641"/>
          <w:rFonts w:ascii="Segoe UI" w:hAnsi="Segoe UI" w:cs="Segoe UI"/>
          <w:sz w:val="18"/>
          <w:szCs w:val="18"/>
        </w:rPr>
        <w:fldChar w:fldCharType="end"/>
      </w:r>
      <w:r>
        <w:rPr>
          <w:rStyle w:val="641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641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641"/>
          <w:rFonts w:ascii="Segoe UI" w:hAnsi="Segoe UI" w:cs="Segoe UI"/>
          <w:sz w:val="20"/>
          <w:szCs w:val="20"/>
        </w:rPr>
        <w:t xml:space="preserve">.</w:t>
      </w:r>
      <w:r>
        <w:rPr>
          <w:rStyle w:val="641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641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641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641"/>
          <w:rFonts w:ascii="Segoe UI" w:hAnsi="Segoe UI" w:cs="Segoe UI"/>
          <w:sz w:val="20"/>
        </w:rPr>
        <w:t xml:space="preserve">Телеграм</w:t>
      </w:r>
      <w:r>
        <w:rPr>
          <w:rStyle w:val="641"/>
          <w:rFonts w:ascii="Segoe UI" w:hAnsi="Segoe UI" w:cs="Segoe UI"/>
          <w:sz w:val="20"/>
        </w:rPr>
        <w:fldChar w:fldCharType="end"/>
      </w:r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27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Quattrocento Sans">
    <w:panose1 w:val="02000603000000000000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"/>
      <w:lvlJc w:val="left"/>
      <w:pPr>
        <w:ind w:left="1440" w:hanging="360"/>
        <w:tabs>
          <w:tab w:val="num" w:pos="1440" w:leader="none"/>
        </w:tabs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2"/>
    <w:next w:val="63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2"/>
    <w:next w:val="63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2"/>
    <w:next w:val="63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2"/>
    <w:next w:val="63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2"/>
    <w:next w:val="63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2"/>
    <w:next w:val="63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2"/>
    <w:next w:val="63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2"/>
    <w:next w:val="63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2"/>
    <w:next w:val="63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2"/>
    <w:next w:val="63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2"/>
    <w:next w:val="63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2"/>
    <w:next w:val="63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2"/>
    <w:next w:val="63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2"/>
    <w:next w:val="6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2"/>
    <w:next w:val="63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2"/>
    <w:next w:val="63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2"/>
    <w:next w:val="63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2"/>
    <w:next w:val="63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2"/>
    <w:next w:val="63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2"/>
    <w:next w:val="63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2"/>
    <w:next w:val="63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2"/>
    <w:next w:val="63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2"/>
    <w:next w:val="63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2"/>
    <w:next w:val="632"/>
    <w:uiPriority w:val="99"/>
    <w:unhideWhenUsed/>
    <w:pPr>
      <w:spacing w:after="0" w:afterAutospacing="0"/>
    </w:pPr>
  </w:style>
  <w:style w:type="paragraph" w:styleId="632" w:default="1">
    <w:name w:val="Normal"/>
    <w:next w:val="632"/>
    <w:link w:val="632"/>
    <w:qFormat/>
    <w:rPr>
      <w:sz w:val="24"/>
      <w:szCs w:val="24"/>
      <w:lang w:val="ru-RU" w:eastAsia="ru-RU" w:bidi="ar-SA"/>
    </w:rPr>
  </w:style>
  <w:style w:type="paragraph" w:styleId="633">
    <w:name w:val="Заголовок 3"/>
    <w:basedOn w:val="632"/>
    <w:next w:val="633"/>
    <w:link w:val="632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634">
    <w:name w:val="Основной шрифт абзаца"/>
    <w:next w:val="634"/>
    <w:link w:val="632"/>
    <w:semiHidden/>
  </w:style>
  <w:style w:type="table" w:styleId="635">
    <w:name w:val="Обычная таблица"/>
    <w:next w:val="635"/>
    <w:link w:val="632"/>
    <w:semiHidden/>
    <w:tblPr/>
  </w:style>
  <w:style w:type="numbering" w:styleId="636">
    <w:name w:val="Нет списка"/>
    <w:next w:val="636"/>
    <w:link w:val="632"/>
    <w:semiHidden/>
  </w:style>
  <w:style w:type="paragraph" w:styleId="637">
    <w:name w:val="Текст выноски"/>
    <w:basedOn w:val="632"/>
    <w:next w:val="637"/>
    <w:link w:val="632"/>
    <w:semiHidden/>
    <w:rPr>
      <w:rFonts w:ascii="Tahoma" w:hAnsi="Tahoma" w:cs="Tahoma"/>
      <w:sz w:val="16"/>
      <w:szCs w:val="16"/>
    </w:rPr>
  </w:style>
  <w:style w:type="table" w:styleId="638">
    <w:name w:val="Сетка таблицы"/>
    <w:basedOn w:val="635"/>
    <w:next w:val="638"/>
    <w:link w:val="632"/>
    <w:tblPr/>
  </w:style>
  <w:style w:type="paragraph" w:styleId="639">
    <w:name w:val="Основной текст с отступом"/>
    <w:basedOn w:val="632"/>
    <w:next w:val="639"/>
    <w:link w:val="632"/>
    <w:pPr>
      <w:ind w:left="6481"/>
      <w:spacing w:before="2400"/>
    </w:pPr>
    <w:rPr>
      <w:sz w:val="28"/>
      <w:szCs w:val="20"/>
    </w:rPr>
  </w:style>
  <w:style w:type="paragraph" w:styleId="640">
    <w:name w:val="Основной текст"/>
    <w:basedOn w:val="632"/>
    <w:next w:val="640"/>
    <w:link w:val="632"/>
    <w:pPr>
      <w:spacing w:after="120"/>
    </w:pPr>
  </w:style>
  <w:style w:type="character" w:styleId="641">
    <w:name w:val="Гиперссылка"/>
    <w:next w:val="641"/>
    <w:link w:val="632"/>
    <w:rPr>
      <w:color w:val="0000ff"/>
      <w:u w:val="single"/>
    </w:rPr>
  </w:style>
  <w:style w:type="paragraph" w:styleId="642">
    <w:name w:val="Обычный (веб)"/>
    <w:basedOn w:val="632"/>
    <w:next w:val="642"/>
    <w:link w:val="632"/>
    <w:uiPriority w:val="99"/>
    <w:pPr>
      <w:spacing w:before="100" w:beforeAutospacing="1" w:after="100" w:afterAutospacing="1"/>
    </w:pPr>
  </w:style>
  <w:style w:type="character" w:styleId="643">
    <w:name w:val="apple-converted-space"/>
    <w:basedOn w:val="634"/>
    <w:next w:val="643"/>
    <w:link w:val="632"/>
  </w:style>
  <w:style w:type="character" w:styleId="644">
    <w:name w:val="visited"/>
    <w:basedOn w:val="634"/>
    <w:next w:val="644"/>
    <w:link w:val="632"/>
  </w:style>
  <w:style w:type="character" w:styleId="645">
    <w:name w:val="blk"/>
    <w:basedOn w:val="634"/>
    <w:next w:val="645"/>
    <w:link w:val="632"/>
  </w:style>
  <w:style w:type="character" w:styleId="646">
    <w:name w:val="match"/>
    <w:basedOn w:val="634"/>
    <w:next w:val="646"/>
    <w:link w:val="632"/>
  </w:style>
  <w:style w:type="paragraph" w:styleId="647">
    <w:name w:val="formattext topleveltext"/>
    <w:basedOn w:val="632"/>
    <w:next w:val="647"/>
    <w:link w:val="632"/>
    <w:pPr>
      <w:spacing w:before="100" w:beforeAutospacing="1" w:after="100" w:afterAutospacing="1"/>
    </w:pPr>
  </w:style>
  <w:style w:type="paragraph" w:styleId="648">
    <w:name w:val="Основной текст с отступом 2"/>
    <w:basedOn w:val="632"/>
    <w:next w:val="648"/>
    <w:link w:val="632"/>
    <w:pPr>
      <w:ind w:left="283"/>
      <w:spacing w:after="120" w:line="480" w:lineRule="auto"/>
    </w:pPr>
  </w:style>
  <w:style w:type="paragraph" w:styleId="649">
    <w:name w:val="ConsPlusNormal"/>
    <w:next w:val="649"/>
    <w:link w:val="651"/>
    <w:rPr>
      <w:sz w:val="26"/>
      <w:szCs w:val="26"/>
      <w:lang w:val="ru-RU" w:eastAsia="ru-RU" w:bidi="ar-SA"/>
    </w:rPr>
  </w:style>
  <w:style w:type="paragraph" w:styleId="650">
    <w:name w:val="Знак Знак Знак Знак Знак Знак Знак Знак Знак Знак Знак Знак"/>
    <w:basedOn w:val="632"/>
    <w:next w:val="650"/>
    <w:link w:val="632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651">
    <w:name w:val="ConsPlusNormal Знак"/>
    <w:next w:val="651"/>
    <w:link w:val="649"/>
    <w:rPr>
      <w:sz w:val="26"/>
      <w:szCs w:val="26"/>
      <w:lang w:val="ru-RU" w:eastAsia="ru-RU" w:bidi="ar-SA"/>
    </w:rPr>
  </w:style>
  <w:style w:type="paragraph" w:styleId="652">
    <w:name w:val="Название"/>
    <w:basedOn w:val="632"/>
    <w:next w:val="652"/>
    <w:link w:val="653"/>
    <w:qFormat/>
    <w:pPr>
      <w:ind w:firstLine="709"/>
      <w:jc w:val="center"/>
    </w:pPr>
    <w:rPr>
      <w:b/>
      <w:szCs w:val="20"/>
    </w:rPr>
  </w:style>
  <w:style w:type="character" w:styleId="653">
    <w:name w:val="Название Знак"/>
    <w:next w:val="653"/>
    <w:link w:val="652"/>
    <w:rPr>
      <w:b/>
      <w:sz w:val="24"/>
      <w:lang w:val="ru-RU" w:eastAsia="ru-RU" w:bidi="ar-SA"/>
    </w:rPr>
  </w:style>
  <w:style w:type="paragraph" w:styleId="654">
    <w:name w:val="Абзац списка"/>
    <w:basedOn w:val="632"/>
    <w:next w:val="654"/>
    <w:link w:val="632"/>
    <w:uiPriority w:val="34"/>
    <w:qFormat/>
    <w:pPr>
      <w:contextualSpacing/>
      <w:ind w:left="720"/>
      <w:spacing w:after="200" w:line="276" w:lineRule="auto"/>
    </w:pPr>
    <w:rPr>
      <w:rFonts w:ascii="Calibri" w:hAnsi="Calibri" w:eastAsia="Times New Roman" w:cs="Times New Roman"/>
      <w:sz w:val="22"/>
      <w:szCs w:val="22"/>
    </w:rPr>
  </w:style>
  <w:style w:type="character" w:styleId="655">
    <w:name w:val="Строгий"/>
    <w:next w:val="655"/>
    <w:link w:val="632"/>
    <w:uiPriority w:val="22"/>
    <w:qFormat/>
    <w:rPr>
      <w:b/>
      <w:bCs/>
    </w:rPr>
  </w:style>
  <w:style w:type="character" w:styleId="656">
    <w:name w:val="Выделение"/>
    <w:next w:val="656"/>
    <w:link w:val="632"/>
    <w:uiPriority w:val="20"/>
    <w:qFormat/>
    <w:rPr>
      <w:i/>
      <w:iCs/>
    </w:rPr>
  </w:style>
  <w:style w:type="character" w:styleId="921" w:default="1">
    <w:name w:val="Default Paragraph Font"/>
    <w:uiPriority w:val="1"/>
    <w:semiHidden/>
    <w:unhideWhenUsed/>
  </w:style>
  <w:style w:type="numbering" w:styleId="922" w:default="1">
    <w:name w:val="No List"/>
    <w:uiPriority w:val="99"/>
    <w:semiHidden/>
    <w:unhideWhenUsed/>
  </w:style>
  <w:style w:type="table" w:styleId="9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revision>297</cp:revision>
  <dcterms:created xsi:type="dcterms:W3CDTF">2009-04-08T02:19:00Z</dcterms:created>
  <dcterms:modified xsi:type="dcterms:W3CDTF">2025-03-27T06:15:19Z</dcterms:modified>
  <cp:version>917504</cp:version>
</cp:coreProperties>
</file>