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 НСПД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Границы т</w:t>
      </w:r>
      <w:r>
        <w:rPr>
          <w:b/>
          <w:sz w:val="28"/>
          <w:szCs w:val="28"/>
        </w:rPr>
        <w:t xml:space="preserve">ерритори</w:t>
      </w:r>
      <w:r>
        <w:rPr>
          <w:b/>
          <w:sz w:val="28"/>
          <w:szCs w:val="28"/>
        </w:rPr>
        <w:t xml:space="preserve">й</w:t>
      </w:r>
      <w:r>
        <w:rPr>
          <w:b/>
          <w:sz w:val="28"/>
          <w:szCs w:val="28"/>
        </w:rPr>
        <w:t xml:space="preserve"> опережающего развития </w:t>
      </w:r>
      <w:r>
        <w:rPr>
          <w:b/>
          <w:sz w:val="28"/>
          <w:szCs w:val="28"/>
        </w:rPr>
        <w:t xml:space="preserve">Новосибирской области </w:t>
      </w:r>
      <w:r>
        <w:rPr>
          <w:b/>
          <w:sz w:val="28"/>
          <w:szCs w:val="28"/>
        </w:rPr>
        <w:t xml:space="preserve">«Линево» и «Горный» </w:t>
      </w:r>
      <w:r>
        <w:rPr>
          <w:b/>
          <w:sz w:val="28"/>
          <w:szCs w:val="28"/>
        </w:rPr>
        <w:t xml:space="preserve">включены </w:t>
      </w:r>
      <w:r>
        <w:rPr>
          <w:b/>
          <w:sz w:val="28"/>
          <w:szCs w:val="28"/>
        </w:rPr>
        <w:t xml:space="preserve"> в ЕГРН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09"/>
        <w:jc w:val="both"/>
        <w:rPr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конце декабря 2024 года</w:t>
      </w:r>
      <w:r>
        <w:rPr>
          <w:sz w:val="28"/>
          <w:szCs w:val="28"/>
        </w:rPr>
        <w:t xml:space="preserve"> 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Единый государственный реестр недвижимости пополнился сведениями о 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границ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ах 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двух 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территорий опережающего развития 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Новосибирской области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«Линево» и «Горный»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.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</w:r>
    </w:p>
    <w:p>
      <w:pPr>
        <w:pStyle w:val="632"/>
        <w:ind w:firstLine="709"/>
        <w:jc w:val="both"/>
        <w:rPr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ТОР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 «Линево» 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находится в одноименном 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рабочем поселке Линево Искитимского района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, предназначена для размещения инвестиционных проектов в сферах производства готовых металлических изделий, машин и оборудования, продукции легкой промышленности, химических продуктов.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</w:r>
    </w:p>
    <w:p>
      <w:pPr>
        <w:pStyle w:val="632"/>
        <w:ind w:firstLine="709"/>
        <w:jc w:val="both"/>
        <w:rPr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ТОР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 «Горный»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создана в границах одноименного 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рабоче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го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 поселк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а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 Горный Тогучинского района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 и позволяет разместить крупные инвестиционные проекты в сфере производства неметаллической минеральной продукции, переработки полезных ископаемых и производства строительных материалов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.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</w:r>
    </w:p>
    <w:p>
      <w:pPr>
        <w:pStyle w:val="632"/>
        <w:ind w:firstLine="709"/>
        <w:jc w:val="both"/>
        <w:rPr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На территориях опережающего развития устанавливается особый правовой режим для осуществления предпринимательской деятельности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,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  повышения инвестиционной привлекательности. Ускоренное развитие социально-экономической сферы способствует увеличению количества рабочих мест и позволяет создать более комфортные условия для 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населения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, проживающ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его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 на данных территориях.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</w:r>
    </w:p>
    <w:p>
      <w:pPr>
        <w:pStyle w:val="632"/>
        <w:ind w:firstLine="709"/>
        <w:jc w:val="both"/>
        <w:rPr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  <w:t xml:space="preserve">Напомним, что территории опережающего развития «Линево» и «Горный» созданы с 2018 и 2019 годах постановлениями Правительства Российской Федерации от 16.03.2018 № 268 и от 12.04.2019 № 429.</w:t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</w:r>
      <w:r>
        <w:rPr>
          <w:rStyle w:val="655"/>
          <w:b w:val="0"/>
          <w:bCs w:val="0"/>
          <w:color w:val="000000"/>
          <w:sz w:val="28"/>
          <w:szCs w:val="28"/>
          <w:shd w:val="clear" w:color="auto" w:fill="ffffff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2025-01-15T01:31:41Z</dcterms:modified>
  <cp:version>917504</cp:version>
</cp:coreProperties>
</file>