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B55" w:rsidRDefault="00F57B55" w:rsidP="00F57B55">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4"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F57B55" w:rsidRDefault="00F57B55" w:rsidP="00F57B55">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 xml:space="preserve">Периодическое печатное  издание Совета депутатов и администрации  Суздальского сельсовета </w:t>
      </w:r>
    </w:p>
    <w:p w:rsidR="00F57B55" w:rsidRPr="00F57B55" w:rsidRDefault="00F57B55" w:rsidP="00F57B55">
      <w:pPr>
        <w:jc w:val="center"/>
      </w:pPr>
      <w:r>
        <w:rPr>
          <w:b/>
        </w:rPr>
        <w:t>от  21 сентября  2022   № 94</w:t>
      </w:r>
    </w:p>
    <w:p w:rsidR="005D54EC" w:rsidRPr="00AC114C" w:rsidRDefault="005D54EC" w:rsidP="00514B22">
      <w:pPr>
        <w:widowControl w:val="0"/>
        <w:autoSpaceDE w:val="0"/>
        <w:autoSpaceDN w:val="0"/>
        <w:spacing w:after="0" w:line="240" w:lineRule="auto"/>
        <w:contextualSpacing/>
        <w:jc w:val="center"/>
        <w:rPr>
          <w:rFonts w:ascii="Times New Roman" w:hAnsi="Times New Roman"/>
          <w:sz w:val="24"/>
          <w:szCs w:val="24"/>
          <w:lang w:eastAsia="ru-RU"/>
        </w:rPr>
      </w:pPr>
      <w:r w:rsidRPr="00AC114C">
        <w:rPr>
          <w:rFonts w:ascii="Times New Roman" w:hAnsi="Times New Roman"/>
          <w:sz w:val="24"/>
          <w:szCs w:val="24"/>
          <w:lang w:eastAsia="ru-RU"/>
        </w:rPr>
        <w:t>Порядок расчета неустойки за просрочку уплаты алиментов</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ab/>
        <w:t>Неустойка по алиментам, взыскиваемым по решению суда, составляет 0,1% от суммы задолженности за каждый день просрочки. Если алименты уплачиваются на основании соглашения об их уплате, порядок расчета неустойки определяется таким соглашением.</w:t>
      </w:r>
      <w:r w:rsidRPr="00AC114C">
        <w:rPr>
          <w:rFonts w:ascii="Times New Roman" w:hAnsi="Times New Roman"/>
          <w:sz w:val="24"/>
          <w:szCs w:val="24"/>
          <w:lang w:eastAsia="ru-RU"/>
        </w:rPr>
        <w:tab/>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Ответственность за несвоевременную уплату алиментов</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1/10 процента от суммы невыплаченных алиментов за каждый день просрочки. Кроме того, получатель алиментов вправе также взыскать с виновного должника все причиненные просрочкой исполнения алиментных обязательств убытки в части, не покрытой неустойкой (ст. 115 СК РФ).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C114C">
        <w:rPr>
          <w:rFonts w:ascii="Times New Roman" w:hAnsi="Times New Roman"/>
          <w:sz w:val="24"/>
          <w:szCs w:val="24"/>
          <w:lang w:eastAsia="ru-RU"/>
        </w:rPr>
        <w:t>Если задолженность по алиментам, уплачиваемым по решению суда, образовалась не по вине плательщика алиментов (например, в связи с несвоевременной выплатой заработной платы, задержкой или неправильным перечислением алиментных сумм банками и т.п.), то ответственность за их неуплату на него не возлагается (п. 63 Постановления Пленума Верховного Суда РФ от 26.12.2017 N 56;</w:t>
      </w:r>
      <w:proofErr w:type="gramEnd"/>
      <w:r w:rsidRPr="00AC114C">
        <w:rPr>
          <w:rFonts w:ascii="Times New Roman" w:hAnsi="Times New Roman"/>
          <w:sz w:val="24"/>
          <w:szCs w:val="24"/>
          <w:lang w:eastAsia="ru-RU"/>
        </w:rPr>
        <w:t xml:space="preserve"> разд. X Обзора, утв. Президиумом Верховного Суда РФ 13.05.2015).</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C114C">
        <w:rPr>
          <w:rFonts w:ascii="Times New Roman" w:hAnsi="Times New Roman"/>
          <w:sz w:val="24"/>
          <w:szCs w:val="24"/>
          <w:lang w:eastAsia="ru-RU"/>
        </w:rPr>
        <w:t>Также суд может по иску плательщика алиментов освободить его полностью или частично от уплаты задолженности по алиментам и по уплате неустойки за несвоевременную уплату алиментов, если установит, что неуплата алиментов имела место в связи с его болезнью или по другим уважительным причинам и его материальное и семейное положение не дает возможности погасить образовавшуюся задолженность (п. 2 ст. 114 СК РФ).</w:t>
      </w:r>
      <w:proofErr w:type="gramEnd"/>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Порядок расчета неустойки по алиментам</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Алименты, взыскиваемые по решению суда, должны уплачиваться ежемесячно. Следовательно, неустойку за их неуплату необходимо определять по каждому просроченному месячному платежу исходя из суммы этого платежа и количества дней его просрочки, определяемого на день вынесения решения суда о взыскании неустойки. При этом, если алименты не индексировались, следует исходить из того размера алиментов, в котором должник должен был уплачивать алименты с учетом индексации.</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Неустойка нередко исчисляется путем умножения общей суммы алиментной задолженности на установленный размер неустойки и на общее количество дней просрочки. В этом случае сумма неустойки, как правило, превышает сумму долга по алиментам, на которую начисляется неустойка. Однако производить </w:t>
      </w:r>
      <w:proofErr w:type="gramStart"/>
      <w:r w:rsidRPr="00AC114C">
        <w:rPr>
          <w:rFonts w:ascii="Times New Roman" w:hAnsi="Times New Roman"/>
          <w:sz w:val="24"/>
          <w:szCs w:val="24"/>
          <w:lang w:eastAsia="ru-RU"/>
        </w:rPr>
        <w:t>расчет</w:t>
      </w:r>
      <w:proofErr w:type="gramEnd"/>
      <w:r w:rsidRPr="00AC114C">
        <w:rPr>
          <w:rFonts w:ascii="Times New Roman" w:hAnsi="Times New Roman"/>
          <w:sz w:val="24"/>
          <w:szCs w:val="24"/>
          <w:lang w:eastAsia="ru-RU"/>
        </w:rPr>
        <w:t xml:space="preserve"> таким образом неправильно (п. 64 Постановления Пленума Верховного Суда РФ N 56; разд. X Обзора, утв. Президиумом Верховного Суда РФ 13.05.2015).</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C114C">
        <w:rPr>
          <w:rFonts w:ascii="Times New Roman" w:hAnsi="Times New Roman"/>
          <w:sz w:val="24"/>
          <w:szCs w:val="24"/>
          <w:lang w:eastAsia="ru-RU"/>
        </w:rPr>
        <w:lastRenderedPageBreak/>
        <w:t>По заявлению стороны в споре суд может применить исковую давность и отказать в удовлетворении иска (полностью или в части) о взыскании неустойки по мотиву пропуска срока исковой давности, исчисляемого отдельно по каждому просроченному месячному платежу (ст. 4 СК РФ; ст. ст. 196, 199, 208 ГК РФ; п. 65 Постановления Пленума Верховного Суда РФ N 56).</w:t>
      </w:r>
      <w:proofErr w:type="gramEnd"/>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Неустойка по алиментам определяется по формуле:</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Н = А </w:t>
      </w:r>
      <w:proofErr w:type="spellStart"/>
      <w:r w:rsidRPr="00AC114C">
        <w:rPr>
          <w:rFonts w:ascii="Times New Roman" w:hAnsi="Times New Roman"/>
          <w:sz w:val="24"/>
          <w:szCs w:val="24"/>
          <w:lang w:eastAsia="ru-RU"/>
        </w:rPr>
        <w:t>x</w:t>
      </w:r>
      <w:proofErr w:type="spellEnd"/>
      <w:r w:rsidRPr="00AC114C">
        <w:rPr>
          <w:rFonts w:ascii="Times New Roman" w:hAnsi="Times New Roman"/>
          <w:sz w:val="24"/>
          <w:szCs w:val="24"/>
          <w:lang w:eastAsia="ru-RU"/>
        </w:rPr>
        <w:t xml:space="preserve"> 0,1% </w:t>
      </w:r>
      <w:proofErr w:type="spellStart"/>
      <w:r w:rsidRPr="00AC114C">
        <w:rPr>
          <w:rFonts w:ascii="Times New Roman" w:hAnsi="Times New Roman"/>
          <w:sz w:val="24"/>
          <w:szCs w:val="24"/>
          <w:lang w:eastAsia="ru-RU"/>
        </w:rPr>
        <w:t>x</w:t>
      </w:r>
      <w:proofErr w:type="spellEnd"/>
      <w:r w:rsidRPr="00AC114C">
        <w:rPr>
          <w:rFonts w:ascii="Times New Roman" w:hAnsi="Times New Roman"/>
          <w:sz w:val="24"/>
          <w:szCs w:val="24"/>
          <w:lang w:eastAsia="ru-RU"/>
        </w:rPr>
        <w:t xml:space="preserve"> Кд,</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где: Н - сумма неустойки за каждый месяц просрочки,</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А - сумма задолженности по алиментам на конец месяца,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Кд - количество дней просрочки.</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Сумма неустойки за весь период просрочки определяется путем сложения сумм неустойки за каждый месяц просрочки.</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Размер задолженности по алиментам определяется судебным приставом-исполнителем. Задолженность по алиментам, уплачиваемым на несовершеннолетних детей в долях к заработку должника, определяется исходя из заработка и иного дохода должника за период, в течение которого алименты не взыскивались. </w:t>
      </w:r>
      <w:proofErr w:type="gramStart"/>
      <w:r w:rsidRPr="00AC114C">
        <w:rPr>
          <w:rFonts w:ascii="Times New Roman" w:hAnsi="Times New Roman"/>
          <w:sz w:val="24"/>
          <w:szCs w:val="24"/>
          <w:lang w:eastAsia="ru-RU"/>
        </w:rPr>
        <w:t>Если должник в этот период не работал либо не были представлены документы о его доходах за этот период, то задолженность по алиментам определяется исходя из размера средней заработной платы в РФ на момент взыскания задолженности (п. п. 3, 4 ст. 113 СК РФ; ч. 2, 3 ст. 102 Закона от 02.10.2007 N 229-ФЗ).</w:t>
      </w:r>
      <w:proofErr w:type="gramEnd"/>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Пример. Расчет неустойки по алиментам</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Решением суда с А. в пользу Б. взысканы алименты на содержание несовершеннолетнего ребенка в размере 1/4 части заработной платы или иного дохода начиная с 01.09.2021. Срок уплаты алиментов за сентябрь 2021 г. - до 01.10.2021, за октябрь 2021 г. - до 01.11.2021. Размер задолженности по алиментам без учета неустойки составляет 10 000 руб. как за сентябрь 2021 г., так и за октябрь 2021 г.</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Должником задолженность по алиментам за сентябрь и октябрь 2021 г. погашена 20.12.2021.</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Таким образом, размер неустойки составит: 1 310 руб. = 10 000 руб. </w:t>
      </w:r>
      <w:proofErr w:type="spellStart"/>
      <w:r w:rsidRPr="00AC114C">
        <w:rPr>
          <w:rFonts w:ascii="Times New Roman" w:hAnsi="Times New Roman"/>
          <w:sz w:val="24"/>
          <w:szCs w:val="24"/>
          <w:lang w:eastAsia="ru-RU"/>
        </w:rPr>
        <w:t>x</w:t>
      </w:r>
      <w:proofErr w:type="spellEnd"/>
      <w:r w:rsidRPr="00AC114C">
        <w:rPr>
          <w:rFonts w:ascii="Times New Roman" w:hAnsi="Times New Roman"/>
          <w:sz w:val="24"/>
          <w:szCs w:val="24"/>
          <w:lang w:eastAsia="ru-RU"/>
        </w:rPr>
        <w:t xml:space="preserve"> 0,1% </w:t>
      </w:r>
      <w:proofErr w:type="spellStart"/>
      <w:r w:rsidRPr="00AC114C">
        <w:rPr>
          <w:rFonts w:ascii="Times New Roman" w:hAnsi="Times New Roman"/>
          <w:sz w:val="24"/>
          <w:szCs w:val="24"/>
          <w:lang w:eastAsia="ru-RU"/>
        </w:rPr>
        <w:t>x</w:t>
      </w:r>
      <w:proofErr w:type="spellEnd"/>
      <w:r w:rsidRPr="00AC114C">
        <w:rPr>
          <w:rFonts w:ascii="Times New Roman" w:hAnsi="Times New Roman"/>
          <w:sz w:val="24"/>
          <w:szCs w:val="24"/>
          <w:lang w:eastAsia="ru-RU"/>
        </w:rPr>
        <w:t xml:space="preserve"> 31 </w:t>
      </w:r>
      <w:proofErr w:type="spellStart"/>
      <w:r w:rsidRPr="00AC114C">
        <w:rPr>
          <w:rFonts w:ascii="Times New Roman" w:hAnsi="Times New Roman"/>
          <w:sz w:val="24"/>
          <w:szCs w:val="24"/>
          <w:lang w:eastAsia="ru-RU"/>
        </w:rPr>
        <w:t>дн</w:t>
      </w:r>
      <w:proofErr w:type="spellEnd"/>
      <w:r w:rsidRPr="00AC114C">
        <w:rPr>
          <w:rFonts w:ascii="Times New Roman" w:hAnsi="Times New Roman"/>
          <w:sz w:val="24"/>
          <w:szCs w:val="24"/>
          <w:lang w:eastAsia="ru-RU"/>
        </w:rPr>
        <w:t xml:space="preserve">. + 20 000 руб. </w:t>
      </w:r>
      <w:proofErr w:type="spellStart"/>
      <w:r w:rsidRPr="00AC114C">
        <w:rPr>
          <w:rFonts w:ascii="Times New Roman" w:hAnsi="Times New Roman"/>
          <w:sz w:val="24"/>
          <w:szCs w:val="24"/>
          <w:lang w:eastAsia="ru-RU"/>
        </w:rPr>
        <w:t>x</w:t>
      </w:r>
      <w:proofErr w:type="spellEnd"/>
      <w:r w:rsidRPr="00AC114C">
        <w:rPr>
          <w:rFonts w:ascii="Times New Roman" w:hAnsi="Times New Roman"/>
          <w:sz w:val="24"/>
          <w:szCs w:val="24"/>
          <w:lang w:eastAsia="ru-RU"/>
        </w:rPr>
        <w:t xml:space="preserve"> 0,1% </w:t>
      </w:r>
      <w:proofErr w:type="spellStart"/>
      <w:r w:rsidRPr="00AC114C">
        <w:rPr>
          <w:rFonts w:ascii="Times New Roman" w:hAnsi="Times New Roman"/>
          <w:sz w:val="24"/>
          <w:szCs w:val="24"/>
          <w:lang w:eastAsia="ru-RU"/>
        </w:rPr>
        <w:t>x</w:t>
      </w:r>
      <w:proofErr w:type="spellEnd"/>
      <w:r w:rsidRPr="00AC114C">
        <w:rPr>
          <w:rFonts w:ascii="Times New Roman" w:hAnsi="Times New Roman"/>
          <w:sz w:val="24"/>
          <w:szCs w:val="24"/>
          <w:lang w:eastAsia="ru-RU"/>
        </w:rPr>
        <w:t xml:space="preserve"> 50 </w:t>
      </w:r>
      <w:proofErr w:type="spellStart"/>
      <w:r w:rsidRPr="00AC114C">
        <w:rPr>
          <w:rFonts w:ascii="Times New Roman" w:hAnsi="Times New Roman"/>
          <w:sz w:val="24"/>
          <w:szCs w:val="24"/>
          <w:lang w:eastAsia="ru-RU"/>
        </w:rPr>
        <w:t>дн</w:t>
      </w:r>
      <w:proofErr w:type="spellEnd"/>
      <w:r w:rsidRPr="00AC114C">
        <w:rPr>
          <w:rFonts w:ascii="Times New Roman" w:hAnsi="Times New Roman"/>
          <w:sz w:val="24"/>
          <w:szCs w:val="24"/>
          <w:lang w:eastAsia="ru-RU"/>
        </w:rPr>
        <w:t>.</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t>Помощник прокурора Тимошенко Т.Е.</w:t>
      </w:r>
    </w:p>
    <w:p w:rsidR="00514B22" w:rsidRPr="00AC114C" w:rsidRDefault="00514B22" w:rsidP="00AC114C">
      <w:pPr>
        <w:widowControl w:val="0"/>
        <w:autoSpaceDE w:val="0"/>
        <w:autoSpaceDN w:val="0"/>
        <w:spacing w:after="0" w:line="240" w:lineRule="auto"/>
        <w:contextualSpacing/>
        <w:jc w:val="both"/>
        <w:rPr>
          <w:rFonts w:ascii="Times New Roman" w:hAnsi="Times New Roman"/>
          <w:sz w:val="24"/>
          <w:szCs w:val="24"/>
          <w:lang w:eastAsia="ru-RU"/>
        </w:rPr>
      </w:pPr>
    </w:p>
    <w:p w:rsidR="00514B22" w:rsidRPr="00AC114C" w:rsidRDefault="00514B22"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5D54EC" w:rsidRPr="00AC114C" w:rsidRDefault="005D54EC" w:rsidP="00514B22">
      <w:pPr>
        <w:widowControl w:val="0"/>
        <w:autoSpaceDE w:val="0"/>
        <w:autoSpaceDN w:val="0"/>
        <w:spacing w:after="0" w:line="240" w:lineRule="auto"/>
        <w:contextualSpacing/>
        <w:jc w:val="center"/>
        <w:rPr>
          <w:rFonts w:ascii="Times New Roman" w:hAnsi="Times New Roman"/>
          <w:sz w:val="24"/>
          <w:szCs w:val="24"/>
          <w:lang w:eastAsia="ru-RU"/>
        </w:rPr>
      </w:pPr>
      <w:r w:rsidRPr="00AC114C">
        <w:rPr>
          <w:rFonts w:ascii="Times New Roman" w:hAnsi="Times New Roman"/>
          <w:sz w:val="24"/>
          <w:szCs w:val="24"/>
          <w:lang w:eastAsia="ru-RU"/>
        </w:rPr>
        <w:t>Порядок наблюдения у врача-нарколога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ab/>
        <w:t>Наблюдение в наркологическом диспансере осуществляется врачами - психиатрами-наркологами при наличии письменного согласия пациента (его законного представителя). Врач ведет статистический учет пациентов и информирует их о порядке, сроках и периодичности диспансерного наблюдения.</w:t>
      </w:r>
      <w:r w:rsidRPr="00AC114C">
        <w:rPr>
          <w:rFonts w:ascii="Times New Roman" w:hAnsi="Times New Roman"/>
          <w:sz w:val="24"/>
          <w:szCs w:val="24"/>
          <w:lang w:eastAsia="ru-RU"/>
        </w:rPr>
        <w:tab/>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C114C">
        <w:rPr>
          <w:rFonts w:ascii="Times New Roman" w:hAnsi="Times New Roman"/>
          <w:sz w:val="24"/>
          <w:szCs w:val="24"/>
          <w:lang w:eastAsia="ru-RU"/>
        </w:rPr>
        <w:t>Диспансерное наблюдение представляет собой динамическое наблюдение, в том числе необходимое обследование, за состоянием здоровья пациентов в целях своевременного выявления, предупреждения осложнений, обострения заболевания, иных патологических состояний, их профилактики, осуществления лечения и медицинской реабилитации указанных лиц, а также подтверждения наличия стойкой ремиссии заболевания (ч. 5 ст. 46 Закона от 21.11.2011 N 323-ФЗ;</w:t>
      </w:r>
      <w:proofErr w:type="gramEnd"/>
      <w:r w:rsidRPr="00AC114C">
        <w:rPr>
          <w:rFonts w:ascii="Times New Roman" w:hAnsi="Times New Roman"/>
          <w:sz w:val="24"/>
          <w:szCs w:val="24"/>
          <w:lang w:eastAsia="ru-RU"/>
        </w:rPr>
        <w:t xml:space="preserve"> п. 2 Приложения 2 к Приказу Минздрава России от 30.12.2015 N 1034н).</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Установление диспансерного наблюдения</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Наблюдение в наркологическом диспансере осуществляется за больными наркоманией и иными лицами, обратившимися за медицинской помощью по профилю "психиатрия-наркология" (п. 1 Приложения 2 к Приказу N 1034н).</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Больной наркоманией - это лицо, которому по результатам медицинского освидетельствования поставлен диагноз "наркомания".</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Наркомания - это заболевание, обусловленное зависимостью от наркотического средства </w:t>
      </w:r>
      <w:r w:rsidRPr="00AC114C">
        <w:rPr>
          <w:rFonts w:ascii="Times New Roman" w:hAnsi="Times New Roman"/>
          <w:sz w:val="24"/>
          <w:szCs w:val="24"/>
          <w:lang w:eastAsia="ru-RU"/>
        </w:rPr>
        <w:lastRenderedPageBreak/>
        <w:t>или психотропного вещества, требующее лечения (ст. 1 Закона от 08.01.1998 N 3-ФЗ).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Диспансерное наблюдение организуется при наличии информированного добровольного согласия в письменной форме. Согласие на медицинское вмешательство дается гражданином или его законным представителем. В частности, в отношении несовершеннолетнего больного наркоманией согласие дает один из родителей или иной законный представитель (за исключением случаев эмансипации) (п. 2 ст. 54 Закона N 3-ФЗ; ч. 1, 2 ст. 20 Закона N 323-ФЗ; п. 5 Приложения 2 к Приказу N 1034н).</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Диспансерное наблюдение осуществляют врачи - психиатры-наркологи (врачи - психиатры-наркологи участковые) в медицинских организациях, имеющих лицензию на медицинскую деятельность по оказанию услуг (выполнению работ) по "психиатрии-наркологии" по месту жительства или месту пребывания пациентов с учетом права пациента на выбор медицинской организации (п. п. 3, 4 Приложения 2 к Приказу N 1034н).</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Наличие оснований для организации диспансерного наблюдения, объем обследования, профилактических мероприятий, лечения и медицинской реабилитации определяются врачом - психиатром-наркологом (врачом-психиатром-наркологом участковым) (п. 6 Приложения 2 к Приказу N 1034н).</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Врач - психиатр-нарколог при проведении диспансерного наблюдения (п. 9 Приложения 2 к Приказу N 1034н):</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ведет статистический учет пациентов, находящихся под диспансерным наблюдением;</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направляет запрос о предоставлении сведений о состоянии здоровья пациентов и их диагнозе, иных сведений, полученных при их медицинском обследовании и лечении, в медицинские организации, оказывающие услуги (выполняющие работы) по "психиатрии-наркологии", по месту жительства (при наличии) пациентов в случае проведения диспансерного наблюдения по месту их пребывания;</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информирует пациентов, находящихся под диспансерным наблюдением, о порядке, объеме, сроках и периодичности диспансерного наблюдения;</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организует и осуществляет проведение диспансерных приемов (осмотров, консультаций), профилактических мероприятий, лечения и медицинской реабилитации;</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в случае невозможности посещения пациентом, подлежащим диспансерному наблюдению, медицинской организации в связи с тяжестью состояния или нарушением двигательных функций организует проведение диспансерного приема (осмотра, консультации) на дому.</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Периодичность медицинских осмотров при диспансерном наблюдении</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Осмотр врачом - психиатром-наркологом пациентов, находящихся под диспансерным наблюдением, осуществляется (п. 7 Приложения 2 к Приказу N 1034н):</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в течение первого года ремиссии - не реже раза в месяц;</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находящихся в ремиссии от одного до двух лет - не реже раза в шесть недель;</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находящихся в ремиссии свыше двух лет - не реже раза в три месяца.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Также не реже раза в три месяца проводится углубленный медицинский осмотр, </w:t>
      </w:r>
      <w:proofErr w:type="gramStart"/>
      <w:r w:rsidRPr="00AC114C">
        <w:rPr>
          <w:rFonts w:ascii="Times New Roman" w:hAnsi="Times New Roman"/>
          <w:sz w:val="24"/>
          <w:szCs w:val="24"/>
          <w:lang w:eastAsia="ru-RU"/>
        </w:rPr>
        <w:t>предусматривающий</w:t>
      </w:r>
      <w:proofErr w:type="gramEnd"/>
      <w:r w:rsidRPr="00AC114C">
        <w:rPr>
          <w:rFonts w:ascii="Times New Roman" w:hAnsi="Times New Roman"/>
          <w:sz w:val="24"/>
          <w:szCs w:val="24"/>
          <w:lang w:eastAsia="ru-RU"/>
        </w:rPr>
        <w:t xml:space="preserve"> в том числе проведение обследования на наличие </w:t>
      </w:r>
      <w:proofErr w:type="spellStart"/>
      <w:r w:rsidRPr="00AC114C">
        <w:rPr>
          <w:rFonts w:ascii="Times New Roman" w:hAnsi="Times New Roman"/>
          <w:sz w:val="24"/>
          <w:szCs w:val="24"/>
          <w:lang w:eastAsia="ru-RU"/>
        </w:rPr>
        <w:t>психоактивных</w:t>
      </w:r>
      <w:proofErr w:type="spellEnd"/>
      <w:r w:rsidRPr="00AC114C">
        <w:rPr>
          <w:rFonts w:ascii="Times New Roman" w:hAnsi="Times New Roman"/>
          <w:sz w:val="24"/>
          <w:szCs w:val="24"/>
          <w:lang w:eastAsia="ru-RU"/>
        </w:rPr>
        <w:t xml:space="preserve"> веществ и их уровень (если они имеются), психопатологическое обследование, психологическое консультирование (п. 8 Приложения 2 к Приказу N 1034н).</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Решение об изменении сроков диспансерного наблюдения принимается врачебной комиссией медицинской организации (п. 11 Приложения 2 к Приказу N 1034н).</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t>Помощник прокурора Тимошенко Т.Е.</w:t>
      </w:r>
    </w:p>
    <w:p w:rsidR="005D54EC" w:rsidRPr="00AC114C" w:rsidRDefault="005D54EC" w:rsidP="00AC114C">
      <w:pPr>
        <w:widowControl w:val="0"/>
        <w:autoSpaceDE w:val="0"/>
        <w:autoSpaceDN w:val="0"/>
        <w:spacing w:after="0" w:line="240" w:lineRule="auto"/>
        <w:contextualSpacing/>
        <w:jc w:val="both"/>
        <w:rPr>
          <w:rFonts w:ascii="Times New Roman" w:hAnsi="Times New Roman"/>
          <w:sz w:val="24"/>
          <w:szCs w:val="24"/>
          <w:lang w:eastAsia="ru-RU"/>
        </w:rPr>
      </w:pP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Правила при осуществлении рыболовства и требования, предъявляемые к нему</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ab/>
        <w:t>Правилами рыболовства может быть установлена суточная норма вылова рыбы гражданами, запрещены вылов отдельных видов рыб и рыболовство в определенных районах и т.п.</w:t>
      </w:r>
      <w:r w:rsidRPr="00AC114C">
        <w:rPr>
          <w:rFonts w:ascii="Times New Roman" w:hAnsi="Times New Roman"/>
          <w:sz w:val="24"/>
          <w:szCs w:val="24"/>
          <w:lang w:eastAsia="ru-RU"/>
        </w:rPr>
        <w:tab/>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lastRenderedPageBreak/>
        <w:t>Граждане могут осуществлять, в частности, следующие виды рыболовства (п. п. 6, 7 ч. 1 ст. 16 Закона от 20.12.2004 N 166-ФЗ):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1)</w:t>
      </w:r>
      <w:r w:rsidRPr="00AC114C">
        <w:rPr>
          <w:rFonts w:ascii="Times New Roman" w:hAnsi="Times New Roman"/>
          <w:sz w:val="24"/>
          <w:szCs w:val="24"/>
          <w:lang w:eastAsia="ru-RU"/>
        </w:rPr>
        <w:tab/>
        <w:t>любительское рыболовство;</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2)</w:t>
      </w:r>
      <w:r w:rsidRPr="00AC114C">
        <w:rPr>
          <w:rFonts w:ascii="Times New Roman" w:hAnsi="Times New Roman"/>
          <w:sz w:val="24"/>
          <w:szCs w:val="24"/>
          <w:lang w:eastAsia="ru-RU"/>
        </w:rPr>
        <w:tab/>
        <w:t>рыболовство как часть традиционного образа жизни и традиционной хозяйственной деятельности коренных малочисленных народов Севера, Сибири и Дальнего Востока РФ.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Под любительским рыболовством понимается деятельность по добыче (вылову) водных биологических ресурсов (далее также - вылов), осуществляемая гражданами в целях удовлетворения личных потребностей, а также при проведении официальных физкультурных мероприятий и спортивных мероприятий (п. 1 ч. 1 ст. 2 Закона от 25.12.2018 N 475-ФЗ).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1. Общие правила любительского рыболовства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Отдельные ограничения рыболовства, в том числе любительского, предусмотрены правилами рыболовства, которые обязательны для </w:t>
      </w:r>
      <w:proofErr w:type="gramStart"/>
      <w:r w:rsidRPr="00AC114C">
        <w:rPr>
          <w:rFonts w:ascii="Times New Roman" w:hAnsi="Times New Roman"/>
          <w:sz w:val="24"/>
          <w:szCs w:val="24"/>
          <w:lang w:eastAsia="ru-RU"/>
        </w:rPr>
        <w:t>исполнения</w:t>
      </w:r>
      <w:proofErr w:type="gramEnd"/>
      <w:r w:rsidRPr="00AC114C">
        <w:rPr>
          <w:rFonts w:ascii="Times New Roman" w:hAnsi="Times New Roman"/>
          <w:sz w:val="24"/>
          <w:szCs w:val="24"/>
          <w:lang w:eastAsia="ru-RU"/>
        </w:rPr>
        <w:t xml:space="preserve"> в том числе гражданами (ч. 1, 3, 4 ст. 43.1 Закона N 166-ФЗ; ч. 1 ст. 8 Закона N 475-ФЗ).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1.1. Ограничения в отношении водных объектов</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Заниматься любительским рыболовством граждане РФ могут, как правило, свободно и бесплатно на водных объектах общего пользования (ч. 1 ст. 6 Закона N 475-ФЗ).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За вылов водных биологических ресурсов на водных объектах, которые находятся в собственности граждан или юридических лиц, может устанавливаться плата. При этом заниматься рыболовством на рыболовных (рыбопромысловых) участках, предоставленных в пользование юридическому лицу или ИП для организации рыболовства, граждане могут при наличии путевки. </w:t>
      </w:r>
      <w:proofErr w:type="gramStart"/>
      <w:r w:rsidRPr="00AC114C">
        <w:rPr>
          <w:rFonts w:ascii="Times New Roman" w:hAnsi="Times New Roman"/>
          <w:sz w:val="24"/>
          <w:szCs w:val="24"/>
          <w:lang w:eastAsia="ru-RU"/>
        </w:rPr>
        <w:t>Этот документ подтверждает заключение договора возмездного оказания услуг в области рыболовства и содержит срок ее действия, согласованный для вылова объем водных биоресурсов, район вылова в пределах участка и орудия вылова (ст. 18, ч. 1 ст. 33.3 Закона N 166-ФЗ; ч. 2 ст. 6, ч. 3, 4 ст. 18 Закона N 475-ФЗ;</w:t>
      </w:r>
      <w:proofErr w:type="gramEnd"/>
      <w:r w:rsidRPr="00AC114C">
        <w:rPr>
          <w:rFonts w:ascii="Times New Roman" w:hAnsi="Times New Roman"/>
          <w:sz w:val="24"/>
          <w:szCs w:val="24"/>
          <w:lang w:eastAsia="ru-RU"/>
        </w:rPr>
        <w:t xml:space="preserve"> п. 10.1 разд. II Правил, утв. Приказом Минсельхоза России от 21.10.2020 N 620).</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Рыболовство может быть запрещено или ограничено на водных </w:t>
      </w:r>
      <w:proofErr w:type="gramStart"/>
      <w:r w:rsidRPr="00AC114C">
        <w:rPr>
          <w:rFonts w:ascii="Times New Roman" w:hAnsi="Times New Roman"/>
          <w:sz w:val="24"/>
          <w:szCs w:val="24"/>
          <w:lang w:eastAsia="ru-RU"/>
        </w:rPr>
        <w:t>объектах</w:t>
      </w:r>
      <w:proofErr w:type="gramEnd"/>
      <w:r w:rsidRPr="00AC114C">
        <w:rPr>
          <w:rFonts w:ascii="Times New Roman" w:hAnsi="Times New Roman"/>
          <w:sz w:val="24"/>
          <w:szCs w:val="24"/>
          <w:lang w:eastAsia="ru-RU"/>
        </w:rPr>
        <w:t xml:space="preserve"> на землях обороны и безопасности, землях особо охраняемых природных территорий, иных землях, доступ граждан на которые запрещен или ограничен (ч. 3 ст. 6 Закона N 475-ФЗ).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Также рыболовство запрещено на следующих водных объектах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4 ст. 6 Закона N 475-ФЗ):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C114C">
        <w:rPr>
          <w:rFonts w:ascii="Times New Roman" w:hAnsi="Times New Roman"/>
          <w:sz w:val="24"/>
          <w:szCs w:val="24"/>
          <w:lang w:eastAsia="ru-RU"/>
        </w:rPr>
        <w:t>•</w:t>
      </w:r>
      <w:r w:rsidRPr="00AC114C">
        <w:rPr>
          <w:rFonts w:ascii="Times New Roman" w:hAnsi="Times New Roman"/>
          <w:sz w:val="24"/>
          <w:szCs w:val="24"/>
          <w:lang w:eastAsia="ru-RU"/>
        </w:rPr>
        <w:tab/>
        <w:t xml:space="preserve">на обводненных карьерах и прудах (в том числе образованных водоподпорными сооружениями на водотоках), используемых для прудовой </w:t>
      </w:r>
      <w:proofErr w:type="spellStart"/>
      <w:r w:rsidRPr="00AC114C">
        <w:rPr>
          <w:rFonts w:ascii="Times New Roman" w:hAnsi="Times New Roman"/>
          <w:sz w:val="24"/>
          <w:szCs w:val="24"/>
          <w:lang w:eastAsia="ru-RU"/>
        </w:rPr>
        <w:t>аквакультуры</w:t>
      </w:r>
      <w:proofErr w:type="spellEnd"/>
      <w:r w:rsidRPr="00AC114C">
        <w:rPr>
          <w:rFonts w:ascii="Times New Roman" w:hAnsi="Times New Roman"/>
          <w:sz w:val="24"/>
          <w:szCs w:val="24"/>
          <w:lang w:eastAsia="ru-RU"/>
        </w:rPr>
        <w:t xml:space="preserve"> и не находящихся в собственности граждан или юридических лиц, а также на водных объектах, используемых в процессе функционирования мелиоративных систем;</w:t>
      </w:r>
      <w:proofErr w:type="gramEnd"/>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 xml:space="preserve">иных водных объектах, предоставленных для товарного рыбоводства, за исключением случаев, когда на указанных объектах допускается осуществлять добычу (вылов) водных животных и растений, не являющихся объектами </w:t>
      </w:r>
      <w:proofErr w:type="spellStart"/>
      <w:r w:rsidRPr="00AC114C">
        <w:rPr>
          <w:rFonts w:ascii="Times New Roman" w:hAnsi="Times New Roman"/>
          <w:sz w:val="24"/>
          <w:szCs w:val="24"/>
          <w:lang w:eastAsia="ru-RU"/>
        </w:rPr>
        <w:t>аквакультуры</w:t>
      </w:r>
      <w:proofErr w:type="spellEnd"/>
      <w:r w:rsidRPr="00AC114C">
        <w:rPr>
          <w:rFonts w:ascii="Times New Roman" w:hAnsi="Times New Roman"/>
          <w:sz w:val="24"/>
          <w:szCs w:val="24"/>
          <w:lang w:eastAsia="ru-RU"/>
        </w:rPr>
        <w:t>.</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1.2. Ограничения в целях обеспечения сохранения водных биоресурсов</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В общем случае запрещен вылов редких и находящихся под угрозой исчезновения видов водных биологических ресурсов, занесенных в Красную книгу РФ и (или) Красную книгу субъекта РФ. К таким видам относится, например, сибирский осетр (за исключением популяций бассейна реки Лены) (ст. 27 Закона N 166-ФЗ; п. 162 разд. 2 ч. II Перечня, утв. Приказом Минприроды России от 24.03.2020 N 162).</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В целях обеспечения сохранения водных биоресурсов и их рационального использования могут устанавливаться, в частности, следующие ограничения любительского рыболовства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1 ст. 26 Закона N 166-ФЗ; ч. 1 ст. 7, ч. 2, 6 ст. 9 Закона N 475-ФЗ):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1)</w:t>
      </w:r>
      <w:r w:rsidRPr="00AC114C">
        <w:rPr>
          <w:rFonts w:ascii="Times New Roman" w:hAnsi="Times New Roman"/>
          <w:sz w:val="24"/>
          <w:szCs w:val="24"/>
          <w:lang w:eastAsia="ru-RU"/>
        </w:rPr>
        <w:tab/>
        <w:t>запрет и закрытие рыболовства в определенных районах и в отношении отдельных видов водных биоресурсов;</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2)</w:t>
      </w:r>
      <w:r w:rsidRPr="00AC114C">
        <w:rPr>
          <w:rFonts w:ascii="Times New Roman" w:hAnsi="Times New Roman"/>
          <w:sz w:val="24"/>
          <w:szCs w:val="24"/>
          <w:lang w:eastAsia="ru-RU"/>
        </w:rPr>
        <w:tab/>
        <w:t>ограничение видов и количества разрешаемых орудий и способов вылова, размера ячеи орудий вылова, размера и конструкции орудий вылова;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3)</w:t>
      </w:r>
      <w:r w:rsidRPr="00AC114C">
        <w:rPr>
          <w:rFonts w:ascii="Times New Roman" w:hAnsi="Times New Roman"/>
          <w:sz w:val="24"/>
          <w:szCs w:val="24"/>
          <w:lang w:eastAsia="ru-RU"/>
        </w:rPr>
        <w:tab/>
        <w:t xml:space="preserve">установление периодов любительского рыболовства с применением сетей в </w:t>
      </w:r>
      <w:r w:rsidRPr="00AC114C">
        <w:rPr>
          <w:rFonts w:ascii="Times New Roman" w:hAnsi="Times New Roman"/>
          <w:sz w:val="24"/>
          <w:szCs w:val="24"/>
          <w:lang w:eastAsia="ru-RU"/>
        </w:rPr>
        <w:lastRenderedPageBreak/>
        <w:t>водных объектах районов Севера, Сибири и Дальнего Востока;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4)</w:t>
      </w:r>
      <w:r w:rsidRPr="00AC114C">
        <w:rPr>
          <w:rFonts w:ascii="Times New Roman" w:hAnsi="Times New Roman"/>
          <w:sz w:val="24"/>
          <w:szCs w:val="24"/>
          <w:lang w:eastAsia="ru-RU"/>
        </w:rPr>
        <w:tab/>
        <w:t>запрет рыболовства с использованием взрывчатых и химических веществ, а также электротока;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5)</w:t>
      </w:r>
      <w:r w:rsidRPr="00AC114C">
        <w:rPr>
          <w:rFonts w:ascii="Times New Roman" w:hAnsi="Times New Roman"/>
          <w:sz w:val="24"/>
          <w:szCs w:val="24"/>
          <w:lang w:eastAsia="ru-RU"/>
        </w:rPr>
        <w:tab/>
        <w:t>запрет использования сетей, за некоторым исключением;</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6)</w:t>
      </w:r>
      <w:r w:rsidRPr="00AC114C">
        <w:rPr>
          <w:rFonts w:ascii="Times New Roman" w:hAnsi="Times New Roman"/>
          <w:sz w:val="24"/>
          <w:szCs w:val="24"/>
          <w:lang w:eastAsia="ru-RU"/>
        </w:rPr>
        <w:tab/>
        <w:t>суточная норма вылова.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7)</w:t>
      </w:r>
      <w:r w:rsidRPr="00AC114C">
        <w:rPr>
          <w:rFonts w:ascii="Times New Roman" w:hAnsi="Times New Roman"/>
          <w:sz w:val="24"/>
          <w:szCs w:val="24"/>
          <w:lang w:eastAsia="ru-RU"/>
        </w:rPr>
        <w:tab/>
        <w:t>запрет подводной охоты в следующих случаях:</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в местах массового отдыха граждан;</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с использованием индивидуальных электронных средств обнаружения водных биоресурсов под водой;</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с использованием аквалангов и других автономных дыхательных аппаратов;</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с применением орудий, используемых для подводной добычи, над поверхностью водных объектов.</w:t>
      </w:r>
    </w:p>
    <w:p w:rsidR="005D54EC" w:rsidRPr="00AC114C" w:rsidRDefault="005D54EC" w:rsidP="00AC114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Правила рыболовства утверждаются для каждого </w:t>
      </w:r>
      <w:proofErr w:type="spellStart"/>
      <w:r w:rsidRPr="00AC114C">
        <w:rPr>
          <w:rFonts w:ascii="Times New Roman" w:hAnsi="Times New Roman"/>
          <w:sz w:val="24"/>
          <w:szCs w:val="24"/>
          <w:lang w:eastAsia="ru-RU"/>
        </w:rPr>
        <w:t>рыбохозяйственного</w:t>
      </w:r>
      <w:proofErr w:type="spellEnd"/>
      <w:r w:rsidRPr="00AC114C">
        <w:rPr>
          <w:rFonts w:ascii="Times New Roman" w:hAnsi="Times New Roman"/>
          <w:sz w:val="24"/>
          <w:szCs w:val="24"/>
          <w:lang w:eastAsia="ru-RU"/>
        </w:rPr>
        <w:t xml:space="preserve"> бассейна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2 ст. 43.1 Закона N 166-ФЗ).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t>Помощник прокурора Тимошенко Т.Е.</w:t>
      </w:r>
    </w:p>
    <w:p w:rsidR="00514B22" w:rsidRPr="00AC114C" w:rsidRDefault="00514B22" w:rsidP="00AC114C">
      <w:pPr>
        <w:widowControl w:val="0"/>
        <w:autoSpaceDE w:val="0"/>
        <w:autoSpaceDN w:val="0"/>
        <w:spacing w:after="0" w:line="240" w:lineRule="auto"/>
        <w:contextualSpacing/>
        <w:jc w:val="both"/>
        <w:rPr>
          <w:rFonts w:ascii="Times New Roman" w:hAnsi="Times New Roman"/>
          <w:sz w:val="24"/>
          <w:szCs w:val="24"/>
          <w:lang w:eastAsia="ru-RU"/>
        </w:rPr>
      </w:pPr>
    </w:p>
    <w:p w:rsidR="005D54EC" w:rsidRPr="00AC114C" w:rsidRDefault="005D54EC" w:rsidP="00AC114C">
      <w:pPr>
        <w:widowControl w:val="0"/>
        <w:autoSpaceDE w:val="0"/>
        <w:autoSpaceDN w:val="0"/>
        <w:spacing w:after="0" w:line="240" w:lineRule="auto"/>
        <w:ind w:firstLine="540"/>
        <w:contextualSpacing/>
        <w:jc w:val="center"/>
        <w:rPr>
          <w:rFonts w:ascii="Times New Roman" w:hAnsi="Times New Roman"/>
          <w:sz w:val="24"/>
          <w:szCs w:val="24"/>
          <w:lang w:eastAsia="ru-RU"/>
        </w:rPr>
      </w:pPr>
      <w:r w:rsidRPr="00AC114C">
        <w:rPr>
          <w:rFonts w:ascii="Times New Roman" w:hAnsi="Times New Roman"/>
          <w:sz w:val="24"/>
          <w:szCs w:val="24"/>
          <w:lang w:eastAsia="ru-RU"/>
        </w:rPr>
        <w:t>Стаж, необходимый для получения звания "Ветеран труда"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ab/>
        <w:t>Для получения звания ветерана труда необходим трудовой (страховой) стаж не менее 25 лет для мужчин или 20 лет для женщин либо соответствующая выслуга лет. Особый стаж установлен для лиц, начавших трудовую деятельность несовершеннолетними в период ВОВ.</w:t>
      </w:r>
      <w:r w:rsidRPr="00AC114C">
        <w:rPr>
          <w:rFonts w:ascii="Times New Roman" w:hAnsi="Times New Roman"/>
          <w:sz w:val="24"/>
          <w:szCs w:val="24"/>
          <w:lang w:eastAsia="ru-RU"/>
        </w:rPr>
        <w:tab/>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Стаж для получения звания "Ветеран труда"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Для присвоения звания ветерана труда </w:t>
      </w:r>
      <w:proofErr w:type="gramStart"/>
      <w:r w:rsidRPr="00AC114C">
        <w:rPr>
          <w:rFonts w:ascii="Times New Roman" w:hAnsi="Times New Roman"/>
          <w:sz w:val="24"/>
          <w:szCs w:val="24"/>
          <w:lang w:eastAsia="ru-RU"/>
        </w:rPr>
        <w:t>важное значение</w:t>
      </w:r>
      <w:proofErr w:type="gramEnd"/>
      <w:r w:rsidRPr="00AC114C">
        <w:rPr>
          <w:rFonts w:ascii="Times New Roman" w:hAnsi="Times New Roman"/>
          <w:sz w:val="24"/>
          <w:szCs w:val="24"/>
          <w:lang w:eastAsia="ru-RU"/>
        </w:rPr>
        <w:t xml:space="preserve"> имеет стаж работы (службы). Так, данное звание могут получить следующие лица (</w:t>
      </w:r>
      <w:proofErr w:type="spellStart"/>
      <w:r w:rsidRPr="00AC114C">
        <w:rPr>
          <w:rFonts w:ascii="Times New Roman" w:hAnsi="Times New Roman"/>
          <w:sz w:val="24"/>
          <w:szCs w:val="24"/>
          <w:lang w:eastAsia="ru-RU"/>
        </w:rPr>
        <w:t>пп</w:t>
      </w:r>
      <w:proofErr w:type="spellEnd"/>
      <w:r w:rsidRPr="00AC114C">
        <w:rPr>
          <w:rFonts w:ascii="Times New Roman" w:hAnsi="Times New Roman"/>
          <w:sz w:val="24"/>
          <w:szCs w:val="24"/>
          <w:lang w:eastAsia="ru-RU"/>
        </w:rPr>
        <w:t>. 2 п. 1 ст. 7 Закона от 12.01.1995 N 5-ФЗ):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имеющие определенные награды, если продолжительность их работы в соответствующей сфере деятельности не менее 15 лет, а учитываемый для назначения пенсии трудовой (страховой) стаж не менее 25 или 20 лет (соответственно для мужчин и женщин);</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C114C">
        <w:rPr>
          <w:rFonts w:ascii="Times New Roman" w:hAnsi="Times New Roman"/>
          <w:sz w:val="24"/>
          <w:szCs w:val="24"/>
          <w:lang w:eastAsia="ru-RU"/>
        </w:rPr>
        <w:t>•</w:t>
      </w:r>
      <w:r w:rsidRPr="00AC114C">
        <w:rPr>
          <w:rFonts w:ascii="Times New Roman" w:hAnsi="Times New Roman"/>
          <w:sz w:val="24"/>
          <w:szCs w:val="24"/>
          <w:lang w:eastAsia="ru-RU"/>
        </w:rPr>
        <w:tab/>
        <w:t>начавшие трудовую деятельность в несовершеннолетнем возрасте в период Великой Отечественной войны и имеющие трудовой (страховой) стаж не менее 40 или 35 лет (соответственно для мужчин и женщин).</w:t>
      </w:r>
      <w:proofErr w:type="gramEnd"/>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Трудовой стаж -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(иной деятельности), которые засчитываются в страховой стаж для получения пенсии (ст. 2 Закона от 15.12.2001 N 166-ФЗ).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C114C">
        <w:rPr>
          <w:rFonts w:ascii="Times New Roman" w:hAnsi="Times New Roman"/>
          <w:sz w:val="24"/>
          <w:szCs w:val="24"/>
          <w:lang w:eastAsia="ru-RU"/>
        </w:rPr>
        <w:t>Страховой стаж - учитываемая для назначения страховой пенсии суммарная продолжительность периодов работы (иной деятельности), за которые начислялись и уплачивались страховые взносы в ПФР, а также иных периодов (например, период ухода одного из родителей за каждым ребенком до достижения им полутора лет, но не более шести лет) (п. 2 ст. 3, ст. 12 Закона от 28.12.2013 N 400-ФЗ).</w:t>
      </w:r>
      <w:proofErr w:type="gramEnd"/>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Выслуга лет для получения звания "Ветеран труда"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При присвоении звания ветерана труда определенным категориям граждан вместо трудового (страхового) стажа может учитываться выслуга лет, которая должна быть достаточна для назначения соответствующей пенсии (</w:t>
      </w:r>
      <w:proofErr w:type="spellStart"/>
      <w:r w:rsidRPr="00AC114C">
        <w:rPr>
          <w:rFonts w:ascii="Times New Roman" w:hAnsi="Times New Roman"/>
          <w:sz w:val="24"/>
          <w:szCs w:val="24"/>
          <w:lang w:eastAsia="ru-RU"/>
        </w:rPr>
        <w:t>пп</w:t>
      </w:r>
      <w:proofErr w:type="spellEnd"/>
      <w:r w:rsidRPr="00AC114C">
        <w:rPr>
          <w:rFonts w:ascii="Times New Roman" w:hAnsi="Times New Roman"/>
          <w:sz w:val="24"/>
          <w:szCs w:val="24"/>
          <w:lang w:eastAsia="ru-RU"/>
        </w:rPr>
        <w:t>. 2 п. 1 ст. 7 Закона N 5-ФЗ; п. 2 ст. 5 Закона N 166-ФЗ).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Так, для назначения пенсии за выслугу лет федеральным государственным гражданским служащим имеет значение продолжительность стажа </w:t>
      </w:r>
      <w:proofErr w:type="spellStart"/>
      <w:r w:rsidRPr="00AC114C">
        <w:rPr>
          <w:rFonts w:ascii="Times New Roman" w:hAnsi="Times New Roman"/>
          <w:sz w:val="24"/>
          <w:szCs w:val="24"/>
          <w:lang w:eastAsia="ru-RU"/>
        </w:rPr>
        <w:t>госслужбы</w:t>
      </w:r>
      <w:proofErr w:type="spellEnd"/>
      <w:r w:rsidRPr="00AC114C">
        <w:rPr>
          <w:rFonts w:ascii="Times New Roman" w:hAnsi="Times New Roman"/>
          <w:sz w:val="24"/>
          <w:szCs w:val="24"/>
          <w:lang w:eastAsia="ru-RU"/>
        </w:rPr>
        <w:t>, которая в 2021 г. составляет 17,5 лет. Военнослужащие для получения пенсии за выслугу лет, в частности, должны иметь на день увольнения со службы не менее 20 лет выслуги (п. п. 1, 4 ст. 7 Закона N 166-ФЗ; Приложение 2 к Закону N 166-ФЗ; ч. 1 ст. 13 Закона от 12.02.1993 N 4468-1).</w:t>
      </w:r>
    </w:p>
    <w:p w:rsidR="005D54EC" w:rsidRPr="00AC114C" w:rsidRDefault="00AC114C" w:rsidP="00AC114C">
      <w:pPr>
        <w:widowControl w:val="0"/>
        <w:autoSpaceDE w:val="0"/>
        <w:autoSpaceDN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5D54EC" w:rsidRPr="00AC114C">
        <w:rPr>
          <w:rFonts w:ascii="Times New Roman" w:hAnsi="Times New Roman"/>
          <w:sz w:val="24"/>
          <w:szCs w:val="24"/>
          <w:lang w:eastAsia="ru-RU"/>
        </w:rPr>
        <w:t>Помощник прокурора Тимошенко Т.Е.</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lastRenderedPageBreak/>
        <w:tab/>
      </w:r>
      <w:r w:rsidRPr="00AC114C">
        <w:rPr>
          <w:rFonts w:ascii="Times New Roman" w:hAnsi="Times New Roman"/>
          <w:sz w:val="24"/>
          <w:szCs w:val="24"/>
          <w:lang w:eastAsia="ru-RU"/>
        </w:rPr>
        <w:tab/>
        <w:t>Ответственность за стоянку у водоемов</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ab/>
        <w:t xml:space="preserve">Границы </w:t>
      </w:r>
      <w:proofErr w:type="spellStart"/>
      <w:r w:rsidRPr="00AC114C">
        <w:rPr>
          <w:rFonts w:ascii="Times New Roman" w:hAnsi="Times New Roman"/>
          <w:sz w:val="24"/>
          <w:szCs w:val="24"/>
          <w:lang w:eastAsia="ru-RU"/>
        </w:rPr>
        <w:t>водоохранной</w:t>
      </w:r>
      <w:proofErr w:type="spellEnd"/>
      <w:r w:rsidRPr="00AC114C">
        <w:rPr>
          <w:rFonts w:ascii="Times New Roman" w:hAnsi="Times New Roman"/>
          <w:sz w:val="24"/>
          <w:szCs w:val="24"/>
          <w:lang w:eastAsia="ru-RU"/>
        </w:rPr>
        <w:t xml:space="preserve"> зоны установлены законодательством и зависят от типа водоема. В них запрещено движение и стоянка ТС, а за нарушение предусмотрены штрафы.</w:t>
      </w:r>
      <w:r w:rsidRPr="00AC114C">
        <w:rPr>
          <w:rFonts w:ascii="Times New Roman" w:hAnsi="Times New Roman"/>
          <w:sz w:val="24"/>
          <w:szCs w:val="24"/>
          <w:lang w:eastAsia="ru-RU"/>
        </w:rPr>
        <w:tab/>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spellStart"/>
      <w:r w:rsidRPr="00AC114C">
        <w:rPr>
          <w:rFonts w:ascii="Times New Roman" w:hAnsi="Times New Roman"/>
          <w:sz w:val="24"/>
          <w:szCs w:val="24"/>
          <w:lang w:eastAsia="ru-RU"/>
        </w:rPr>
        <w:t>Водоохранная</w:t>
      </w:r>
      <w:proofErr w:type="spellEnd"/>
      <w:r w:rsidRPr="00AC114C">
        <w:rPr>
          <w:rFonts w:ascii="Times New Roman" w:hAnsi="Times New Roman"/>
          <w:sz w:val="24"/>
          <w:szCs w:val="24"/>
          <w:lang w:eastAsia="ru-RU"/>
        </w:rPr>
        <w:t xml:space="preserve"> зона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Водные объекты (реки, ручьи, озера и др.) имеют </w:t>
      </w:r>
      <w:proofErr w:type="spellStart"/>
      <w:r w:rsidRPr="00AC114C">
        <w:rPr>
          <w:rFonts w:ascii="Times New Roman" w:hAnsi="Times New Roman"/>
          <w:sz w:val="24"/>
          <w:szCs w:val="24"/>
          <w:lang w:eastAsia="ru-RU"/>
        </w:rPr>
        <w:t>водоохранную</w:t>
      </w:r>
      <w:proofErr w:type="spellEnd"/>
      <w:r w:rsidRPr="00AC114C">
        <w:rPr>
          <w:rFonts w:ascii="Times New Roman" w:hAnsi="Times New Roman"/>
          <w:sz w:val="24"/>
          <w:szCs w:val="24"/>
          <w:lang w:eastAsia="ru-RU"/>
        </w:rPr>
        <w:t xml:space="preserve"> зону и прибрежную защитную полосу.</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spellStart"/>
      <w:r w:rsidRPr="00AC114C">
        <w:rPr>
          <w:rFonts w:ascii="Times New Roman" w:hAnsi="Times New Roman"/>
          <w:sz w:val="24"/>
          <w:szCs w:val="24"/>
          <w:lang w:eastAsia="ru-RU"/>
        </w:rPr>
        <w:t>Водоохранными</w:t>
      </w:r>
      <w:proofErr w:type="spellEnd"/>
      <w:r w:rsidRPr="00AC114C">
        <w:rPr>
          <w:rFonts w:ascii="Times New Roman" w:hAnsi="Times New Roman"/>
          <w:sz w:val="24"/>
          <w:szCs w:val="24"/>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1 ст. 65 ВК РФ).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В границах </w:t>
      </w:r>
      <w:proofErr w:type="spellStart"/>
      <w:r w:rsidRPr="00AC114C">
        <w:rPr>
          <w:rFonts w:ascii="Times New Roman" w:hAnsi="Times New Roman"/>
          <w:sz w:val="24"/>
          <w:szCs w:val="24"/>
          <w:lang w:eastAsia="ru-RU"/>
        </w:rPr>
        <w:t>водоохранных</w:t>
      </w:r>
      <w:proofErr w:type="spellEnd"/>
      <w:r w:rsidRPr="00AC114C">
        <w:rPr>
          <w:rFonts w:ascii="Times New Roman" w:hAnsi="Times New Roman"/>
          <w:sz w:val="24"/>
          <w:szCs w:val="24"/>
          <w:lang w:eastAsia="ru-RU"/>
        </w:rPr>
        <w:t xml:space="preserve"> зон, в частности, запрещается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(п. 4 ч. 15, ч. 16.2 ст. 65 ВК РФ).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За нарушение такого запрета физическими лицами предусмотрена административная ответственность в виде штрафа в размере от 3 000 до 4 500 руб. (ч. 1 ст. 8.42 </w:t>
      </w:r>
      <w:proofErr w:type="spellStart"/>
      <w:r w:rsidRPr="00AC114C">
        <w:rPr>
          <w:rFonts w:ascii="Times New Roman" w:hAnsi="Times New Roman"/>
          <w:sz w:val="24"/>
          <w:szCs w:val="24"/>
          <w:lang w:eastAsia="ru-RU"/>
        </w:rPr>
        <w:t>КоАП</w:t>
      </w:r>
      <w:proofErr w:type="spellEnd"/>
      <w:r w:rsidRPr="00AC114C">
        <w:rPr>
          <w:rFonts w:ascii="Times New Roman" w:hAnsi="Times New Roman"/>
          <w:sz w:val="24"/>
          <w:szCs w:val="24"/>
          <w:lang w:eastAsia="ru-RU"/>
        </w:rPr>
        <w:t xml:space="preserve"> РФ).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Порядок определения границы </w:t>
      </w:r>
      <w:proofErr w:type="spellStart"/>
      <w:r w:rsidRPr="00AC114C">
        <w:rPr>
          <w:rFonts w:ascii="Times New Roman" w:hAnsi="Times New Roman"/>
          <w:sz w:val="24"/>
          <w:szCs w:val="24"/>
          <w:lang w:eastAsia="ru-RU"/>
        </w:rPr>
        <w:t>водоохранной</w:t>
      </w:r>
      <w:proofErr w:type="spellEnd"/>
      <w:r w:rsidRPr="00AC114C">
        <w:rPr>
          <w:rFonts w:ascii="Times New Roman" w:hAnsi="Times New Roman"/>
          <w:sz w:val="24"/>
          <w:szCs w:val="24"/>
          <w:lang w:eastAsia="ru-RU"/>
        </w:rPr>
        <w:t xml:space="preserve"> зоны</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Ширина </w:t>
      </w:r>
      <w:proofErr w:type="spellStart"/>
      <w:r w:rsidRPr="00AC114C">
        <w:rPr>
          <w:rFonts w:ascii="Times New Roman" w:hAnsi="Times New Roman"/>
          <w:sz w:val="24"/>
          <w:szCs w:val="24"/>
          <w:lang w:eastAsia="ru-RU"/>
        </w:rPr>
        <w:t>водоохранной</w:t>
      </w:r>
      <w:proofErr w:type="spellEnd"/>
      <w:r w:rsidRPr="00AC114C">
        <w:rPr>
          <w:rFonts w:ascii="Times New Roman" w:hAnsi="Times New Roman"/>
          <w:sz w:val="24"/>
          <w:szCs w:val="24"/>
          <w:lang w:eastAsia="ru-RU"/>
        </w:rPr>
        <w:t xml:space="preserve"> зоны рек или ручьев зависит от их протяженности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4 ст. 65 ВК РФ):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для рек и ручьев протяженностью до 10 км - 50 м;</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от 10 до 50 км - 100 м;</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от 50 км и более - 200 м.</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Радиус </w:t>
      </w:r>
      <w:proofErr w:type="spellStart"/>
      <w:r w:rsidRPr="00AC114C">
        <w:rPr>
          <w:rFonts w:ascii="Times New Roman" w:hAnsi="Times New Roman"/>
          <w:sz w:val="24"/>
          <w:szCs w:val="24"/>
          <w:lang w:eastAsia="ru-RU"/>
        </w:rPr>
        <w:t>водоохранной</w:t>
      </w:r>
      <w:proofErr w:type="spellEnd"/>
      <w:r w:rsidRPr="00AC114C">
        <w:rPr>
          <w:rFonts w:ascii="Times New Roman" w:hAnsi="Times New Roman"/>
          <w:sz w:val="24"/>
          <w:szCs w:val="24"/>
          <w:lang w:eastAsia="ru-RU"/>
        </w:rPr>
        <w:t xml:space="preserve"> зоны для истоков рек и ручьев составляет 50 м (ч. 5 ст. 65 ВК РФ).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Ширина </w:t>
      </w:r>
      <w:proofErr w:type="spellStart"/>
      <w:r w:rsidRPr="00AC114C">
        <w:rPr>
          <w:rFonts w:ascii="Times New Roman" w:hAnsi="Times New Roman"/>
          <w:sz w:val="24"/>
          <w:szCs w:val="24"/>
          <w:lang w:eastAsia="ru-RU"/>
        </w:rPr>
        <w:t>водоохранной</w:t>
      </w:r>
      <w:proofErr w:type="spellEnd"/>
      <w:r w:rsidRPr="00AC114C">
        <w:rPr>
          <w:rFonts w:ascii="Times New Roman" w:hAnsi="Times New Roman"/>
          <w:sz w:val="24"/>
          <w:szCs w:val="24"/>
          <w:lang w:eastAsia="ru-RU"/>
        </w:rPr>
        <w:t xml:space="preserve"> зоны озер и водохранилищ, за исключением озер, расположенных внутри болота, или озер и водохранилища с акваторией менее 0,5 кв. км, составляет 50 м.</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Ширина </w:t>
      </w:r>
      <w:proofErr w:type="spellStart"/>
      <w:r w:rsidRPr="00AC114C">
        <w:rPr>
          <w:rFonts w:ascii="Times New Roman" w:hAnsi="Times New Roman"/>
          <w:sz w:val="24"/>
          <w:szCs w:val="24"/>
          <w:lang w:eastAsia="ru-RU"/>
        </w:rPr>
        <w:t>водоохранной</w:t>
      </w:r>
      <w:proofErr w:type="spellEnd"/>
      <w:r w:rsidRPr="00AC114C">
        <w:rPr>
          <w:rFonts w:ascii="Times New Roman" w:hAnsi="Times New Roman"/>
          <w:sz w:val="24"/>
          <w:szCs w:val="24"/>
          <w:lang w:eastAsia="ru-RU"/>
        </w:rPr>
        <w:t xml:space="preserve"> зоны водохранилищ, расположенных на водотоке, устанавливается равной ширине </w:t>
      </w:r>
      <w:proofErr w:type="spellStart"/>
      <w:r w:rsidRPr="00AC114C">
        <w:rPr>
          <w:rFonts w:ascii="Times New Roman" w:hAnsi="Times New Roman"/>
          <w:sz w:val="24"/>
          <w:szCs w:val="24"/>
          <w:lang w:eastAsia="ru-RU"/>
        </w:rPr>
        <w:t>водоохранной</w:t>
      </w:r>
      <w:proofErr w:type="spellEnd"/>
      <w:r w:rsidRPr="00AC114C">
        <w:rPr>
          <w:rFonts w:ascii="Times New Roman" w:hAnsi="Times New Roman"/>
          <w:sz w:val="24"/>
          <w:szCs w:val="24"/>
          <w:lang w:eastAsia="ru-RU"/>
        </w:rPr>
        <w:t xml:space="preserve"> зоны этого водотока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6 ст. 65 ВК РФ).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Ширина </w:t>
      </w:r>
      <w:proofErr w:type="spellStart"/>
      <w:r w:rsidRPr="00AC114C">
        <w:rPr>
          <w:rFonts w:ascii="Times New Roman" w:hAnsi="Times New Roman"/>
          <w:sz w:val="24"/>
          <w:szCs w:val="24"/>
          <w:lang w:eastAsia="ru-RU"/>
        </w:rPr>
        <w:t>водоохранной</w:t>
      </w:r>
      <w:proofErr w:type="spellEnd"/>
      <w:r w:rsidRPr="00AC114C">
        <w:rPr>
          <w:rFonts w:ascii="Times New Roman" w:hAnsi="Times New Roman"/>
          <w:sz w:val="24"/>
          <w:szCs w:val="24"/>
          <w:lang w:eastAsia="ru-RU"/>
        </w:rPr>
        <w:t xml:space="preserve"> зоны морей составляет 500 м (ч. 8 ст. 65 ВК РФ).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Ширина прибрежной защитной полосы рек, озер и водохранилищ, имеющих особо ценное </w:t>
      </w:r>
      <w:proofErr w:type="spellStart"/>
      <w:r w:rsidRPr="00AC114C">
        <w:rPr>
          <w:rFonts w:ascii="Times New Roman" w:hAnsi="Times New Roman"/>
          <w:sz w:val="24"/>
          <w:szCs w:val="24"/>
          <w:lang w:eastAsia="ru-RU"/>
        </w:rPr>
        <w:t>рыбохозяйственное</w:t>
      </w:r>
      <w:proofErr w:type="spellEnd"/>
      <w:r w:rsidRPr="00AC114C">
        <w:rPr>
          <w:rFonts w:ascii="Times New Roman" w:hAnsi="Times New Roman"/>
          <w:sz w:val="24"/>
          <w:szCs w:val="24"/>
          <w:lang w:eastAsia="ru-RU"/>
        </w:rPr>
        <w:t xml:space="preserve"> значение (места нереста, нагула, зимовки рыб и других водных биологических ресурсов), устанавливается в размере 200 м (ч. 13 ст. 65 ВК РФ).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Случаи уменьшения ответственности</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Границы </w:t>
      </w:r>
      <w:proofErr w:type="spellStart"/>
      <w:r w:rsidRPr="00AC114C">
        <w:rPr>
          <w:rFonts w:ascii="Times New Roman" w:hAnsi="Times New Roman"/>
          <w:sz w:val="24"/>
          <w:szCs w:val="24"/>
          <w:lang w:eastAsia="ru-RU"/>
        </w:rPr>
        <w:t>водоохранных</w:t>
      </w:r>
      <w:proofErr w:type="spellEnd"/>
      <w:r w:rsidRPr="00AC114C">
        <w:rPr>
          <w:rFonts w:ascii="Times New Roman" w:hAnsi="Times New Roman"/>
          <w:sz w:val="24"/>
          <w:szCs w:val="24"/>
          <w:lang w:eastAsia="ru-RU"/>
        </w:rPr>
        <w:t xml:space="preserve"> зон могут быть обозначены специальными информационными знаками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18 ст. 65 ВК РФ).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Отсутствие таких знаков не является основанием для освобождения от ответственности. В данном случае ответственность наступает не в случае нарушения требований знаков, а именно за нарушение установленных ограничений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xml:space="preserve">. 1 ст. 8.42 </w:t>
      </w:r>
      <w:proofErr w:type="spellStart"/>
      <w:r w:rsidRPr="00AC114C">
        <w:rPr>
          <w:rFonts w:ascii="Times New Roman" w:hAnsi="Times New Roman"/>
          <w:sz w:val="24"/>
          <w:szCs w:val="24"/>
          <w:lang w:eastAsia="ru-RU"/>
        </w:rPr>
        <w:t>КоАП</w:t>
      </w:r>
      <w:proofErr w:type="spellEnd"/>
      <w:r w:rsidRPr="00AC114C">
        <w:rPr>
          <w:rFonts w:ascii="Times New Roman" w:hAnsi="Times New Roman"/>
          <w:sz w:val="24"/>
          <w:szCs w:val="24"/>
          <w:lang w:eastAsia="ru-RU"/>
        </w:rPr>
        <w:t xml:space="preserve"> РФ; п. 4 ч. 15 ст. 65 ВК РФ).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Чтобы не нарушить закон в случае отсутствия знаков и специально оборудованных мест для стоянки автомобилей, самостоятельно определите границу </w:t>
      </w:r>
      <w:proofErr w:type="spellStart"/>
      <w:r w:rsidRPr="00AC114C">
        <w:rPr>
          <w:rFonts w:ascii="Times New Roman" w:hAnsi="Times New Roman"/>
          <w:sz w:val="24"/>
          <w:szCs w:val="24"/>
          <w:lang w:eastAsia="ru-RU"/>
        </w:rPr>
        <w:t>водоохранной</w:t>
      </w:r>
      <w:proofErr w:type="spellEnd"/>
      <w:r w:rsidRPr="00AC114C">
        <w:rPr>
          <w:rFonts w:ascii="Times New Roman" w:hAnsi="Times New Roman"/>
          <w:sz w:val="24"/>
          <w:szCs w:val="24"/>
          <w:lang w:eastAsia="ru-RU"/>
        </w:rPr>
        <w:t xml:space="preserve"> зоны с учетом указанных выше критериев.</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Минимальный штраф, предусмотренный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xml:space="preserve">. 1 ст. 8.42 </w:t>
      </w:r>
      <w:proofErr w:type="spellStart"/>
      <w:r w:rsidRPr="00AC114C">
        <w:rPr>
          <w:rFonts w:ascii="Times New Roman" w:hAnsi="Times New Roman"/>
          <w:sz w:val="24"/>
          <w:szCs w:val="24"/>
          <w:lang w:eastAsia="ru-RU"/>
        </w:rPr>
        <w:t>КоАП</w:t>
      </w:r>
      <w:proofErr w:type="spellEnd"/>
      <w:r w:rsidRPr="00AC114C">
        <w:rPr>
          <w:rFonts w:ascii="Times New Roman" w:hAnsi="Times New Roman"/>
          <w:sz w:val="24"/>
          <w:szCs w:val="24"/>
          <w:lang w:eastAsia="ru-RU"/>
        </w:rPr>
        <w:t xml:space="preserve"> РФ, возможен при отсутствии отягчающих и наличии смягчающих обстоятельств. В данном случае смягчающими обстоятельствами будет служить (ст. ст. 4.2, 4.3 </w:t>
      </w:r>
      <w:proofErr w:type="spellStart"/>
      <w:r w:rsidRPr="00AC114C">
        <w:rPr>
          <w:rFonts w:ascii="Times New Roman" w:hAnsi="Times New Roman"/>
          <w:sz w:val="24"/>
          <w:szCs w:val="24"/>
          <w:lang w:eastAsia="ru-RU"/>
        </w:rPr>
        <w:t>КоАП</w:t>
      </w:r>
      <w:proofErr w:type="spellEnd"/>
      <w:r w:rsidRPr="00AC114C">
        <w:rPr>
          <w:rFonts w:ascii="Times New Roman" w:hAnsi="Times New Roman"/>
          <w:sz w:val="24"/>
          <w:szCs w:val="24"/>
          <w:lang w:eastAsia="ru-RU"/>
        </w:rPr>
        <w:t xml:space="preserve"> РФ):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добровольное прекращение правонарушения;</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раскаяние;</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предотвращение вредных последствий правонарушения;</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оказание содействия в установлении обстоятельств, подлежащих установлению по делу.</w:t>
      </w:r>
    </w:p>
    <w:p w:rsidR="005D54EC" w:rsidRPr="00AC114C" w:rsidRDefault="00AC114C" w:rsidP="00AC114C">
      <w:pPr>
        <w:widowControl w:val="0"/>
        <w:autoSpaceDE w:val="0"/>
        <w:autoSpaceDN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5D54EC" w:rsidRPr="00AC114C">
        <w:rPr>
          <w:rFonts w:ascii="Times New Roman" w:hAnsi="Times New Roman"/>
          <w:sz w:val="24"/>
          <w:szCs w:val="24"/>
          <w:lang w:eastAsia="ru-RU"/>
        </w:rPr>
        <w:t>Помощник прокурора Тимошенко Т.Е</w:t>
      </w:r>
      <w:r>
        <w:rPr>
          <w:rFonts w:ascii="Times New Roman" w:hAnsi="Times New Roman"/>
          <w:sz w:val="24"/>
          <w:szCs w:val="24"/>
          <w:lang w:eastAsia="ru-RU"/>
        </w:rPr>
        <w:t>.</w:t>
      </w:r>
    </w:p>
    <w:p w:rsidR="005D54EC" w:rsidRPr="00AC114C" w:rsidRDefault="005D54EC" w:rsidP="00AC114C">
      <w:pPr>
        <w:widowControl w:val="0"/>
        <w:autoSpaceDE w:val="0"/>
        <w:autoSpaceDN w:val="0"/>
        <w:spacing w:after="0" w:line="240" w:lineRule="auto"/>
        <w:contextualSpacing/>
        <w:jc w:val="center"/>
        <w:rPr>
          <w:rFonts w:ascii="Times New Roman" w:hAnsi="Times New Roman"/>
          <w:sz w:val="24"/>
          <w:szCs w:val="24"/>
          <w:lang w:eastAsia="ru-RU"/>
        </w:rPr>
      </w:pPr>
      <w:r w:rsidRPr="00AC114C">
        <w:rPr>
          <w:rFonts w:ascii="Times New Roman" w:hAnsi="Times New Roman"/>
          <w:sz w:val="24"/>
          <w:szCs w:val="24"/>
          <w:lang w:eastAsia="ru-RU"/>
        </w:rPr>
        <w:lastRenderedPageBreak/>
        <w:t>Случаи и порядок возврата  средств материнского капитала в ПФР</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ab/>
        <w:t>Средства материнского капитала подлежат возврату в ПФР, в частности, в случае подачи заявления об отказе от их направления на формирование накопительной пенсии, в случае выплаты возмещения участникам долевого строительства, направившим такие средства на улучшение жилищных условий, при признании застройщика банкротом.</w:t>
      </w:r>
      <w:r w:rsidRPr="00AC114C">
        <w:rPr>
          <w:rFonts w:ascii="Times New Roman" w:hAnsi="Times New Roman"/>
          <w:sz w:val="24"/>
          <w:szCs w:val="24"/>
          <w:lang w:eastAsia="ru-RU"/>
        </w:rPr>
        <w:tab/>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Средства материнского капитала имеют строго целевое назначение и могут быть направлены лицами, получившими соответствующий сертификат, на следующие цели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3 ст. 7 Закона от 29.12.2006 N 256-ФЗ; ч. 4 ст. 1, ч. 11 ст. 3 Закона от 28.12.2017 N 418-ФЗ):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1)</w:t>
      </w:r>
      <w:r w:rsidRPr="00AC114C">
        <w:rPr>
          <w:rFonts w:ascii="Times New Roman" w:hAnsi="Times New Roman"/>
          <w:sz w:val="24"/>
          <w:szCs w:val="24"/>
          <w:lang w:eastAsia="ru-RU"/>
        </w:rPr>
        <w:tab/>
        <w:t>улучшение жилищных условий;</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2)</w:t>
      </w:r>
      <w:r w:rsidRPr="00AC114C">
        <w:rPr>
          <w:rFonts w:ascii="Times New Roman" w:hAnsi="Times New Roman"/>
          <w:sz w:val="24"/>
          <w:szCs w:val="24"/>
          <w:lang w:eastAsia="ru-RU"/>
        </w:rPr>
        <w:tab/>
        <w:t>получение образования ребенком (детьми);</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3)</w:t>
      </w:r>
      <w:r w:rsidRPr="00AC114C">
        <w:rPr>
          <w:rFonts w:ascii="Times New Roman" w:hAnsi="Times New Roman"/>
          <w:sz w:val="24"/>
          <w:szCs w:val="24"/>
          <w:lang w:eastAsia="ru-RU"/>
        </w:rPr>
        <w:tab/>
        <w:t>формирование накопительной пенсии для женщин, родивших (усыновивших) ребенка;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4)</w:t>
      </w:r>
      <w:r w:rsidRPr="00AC114C">
        <w:rPr>
          <w:rFonts w:ascii="Times New Roman" w:hAnsi="Times New Roman"/>
          <w:sz w:val="24"/>
          <w:szCs w:val="24"/>
          <w:lang w:eastAsia="ru-RU"/>
        </w:rPr>
        <w:tab/>
        <w:t>приобретение товаров и услуг, предназначенных для социальной адаптации и интеграции в общество детей-инвалидов;</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5)</w:t>
      </w:r>
      <w:r w:rsidRPr="00AC114C">
        <w:rPr>
          <w:rFonts w:ascii="Times New Roman" w:hAnsi="Times New Roman"/>
          <w:sz w:val="24"/>
          <w:szCs w:val="24"/>
          <w:lang w:eastAsia="ru-RU"/>
        </w:rPr>
        <w:tab/>
        <w:t>получение ежемесячной выплаты в связи с рождением (усыновлением) второго ребенка.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В отдельных случаях перечисленные на определенные цели средства (часть средств) материнского капитала (далее - средства материнского капитала) подлежат возврату в ПФР. Вот некоторые из них.</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Выплата возмещения Фондом защиты прав граждан - участников долевого строительства или расторжение договора счета </w:t>
      </w:r>
      <w:proofErr w:type="spellStart"/>
      <w:r w:rsidRPr="00AC114C">
        <w:rPr>
          <w:rFonts w:ascii="Times New Roman" w:hAnsi="Times New Roman"/>
          <w:sz w:val="24"/>
          <w:szCs w:val="24"/>
          <w:lang w:eastAsia="ru-RU"/>
        </w:rPr>
        <w:t>эскроу</w:t>
      </w:r>
      <w:proofErr w:type="spellEnd"/>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Средства материнского капитала, использованные гражданами - участниками долевого строительства на улучшение своих жилищных условий, подлежат возврату в ПФР в следующих случаях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1, 4 ст. 10.1 Закона N 256-ФЗ; ч. 1 ст. 13 Закона от 29.07.2017 N 218-ФЗ; ч. 7, 8 ст. 15.5 Закона от 30.12.2004 N 214-ФЗ):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1)</w:t>
      </w:r>
      <w:r w:rsidRPr="00AC114C">
        <w:rPr>
          <w:rFonts w:ascii="Times New Roman" w:hAnsi="Times New Roman"/>
          <w:sz w:val="24"/>
          <w:szCs w:val="24"/>
          <w:lang w:eastAsia="ru-RU"/>
        </w:rPr>
        <w:tab/>
        <w:t>публично-правовая компания "Фонд защиты прав граждан - участников долевого строительства" (далее - Фонд защиты прав) выплатила возмещение в связи с признанием застройщика банкротом и открытием в отношении него конкурсного производства;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2)</w:t>
      </w:r>
      <w:r w:rsidRPr="00AC114C">
        <w:rPr>
          <w:rFonts w:ascii="Times New Roman" w:hAnsi="Times New Roman"/>
          <w:sz w:val="24"/>
          <w:szCs w:val="24"/>
          <w:lang w:eastAsia="ru-RU"/>
        </w:rPr>
        <w:tab/>
        <w:t xml:space="preserve">договор счета </w:t>
      </w:r>
      <w:proofErr w:type="spellStart"/>
      <w:r w:rsidRPr="00AC114C">
        <w:rPr>
          <w:rFonts w:ascii="Times New Roman" w:hAnsi="Times New Roman"/>
          <w:sz w:val="24"/>
          <w:szCs w:val="24"/>
          <w:lang w:eastAsia="ru-RU"/>
        </w:rPr>
        <w:t>эскроу</w:t>
      </w:r>
      <w:proofErr w:type="spellEnd"/>
      <w:r w:rsidRPr="00AC114C">
        <w:rPr>
          <w:rFonts w:ascii="Times New Roman" w:hAnsi="Times New Roman"/>
          <w:sz w:val="24"/>
          <w:szCs w:val="24"/>
          <w:lang w:eastAsia="ru-RU"/>
        </w:rPr>
        <w:t xml:space="preserve"> прекращен в связи с расторжением договора участия в долевом строительстве (далее - ДДУ) либо в связи с отказом от ДДУ в одностороннем порядке.</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C114C">
        <w:rPr>
          <w:rFonts w:ascii="Times New Roman" w:hAnsi="Times New Roman"/>
          <w:sz w:val="24"/>
          <w:szCs w:val="24"/>
          <w:lang w:eastAsia="ru-RU"/>
        </w:rPr>
        <w:t>Фонд защиты прав или уполномоченный банк (соответственно в первом или во втором случае) запрашивает в ПФР сведения об использовании участником долевого строительства (его супругом, супругой) средств материнского капитала на улучшение жилищных условий и реквизиты счета, на который необходимо перечислить денежную сумму в размере использованных средств материнского капитала (ч. 1, 2, 4 ст. 10.1 Закона N 256-ФЗ).</w:t>
      </w:r>
      <w:proofErr w:type="gramEnd"/>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С момента поступления денежных средств на указанный счет право гражданина на дополнительные меры государственной поддержки восстанавливается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7 ст. 10.1 Закона N 256-ФЗ).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Излишнее перечисление средств материнского капитала, направленных на улучшение жилищных условий</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Частичный возврат средств материнского капитала должен быть осуществлен в случаях, когда сумма, указанная в заявлении о распоряжении средствами материнского капитала, направленная на улучшение жилищных условий и перечисленная на счет организации-кредитора (заимодавца), превышает одну из величин:</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1)</w:t>
      </w:r>
      <w:r w:rsidRPr="00AC114C">
        <w:rPr>
          <w:rFonts w:ascii="Times New Roman" w:hAnsi="Times New Roman"/>
          <w:sz w:val="24"/>
          <w:szCs w:val="24"/>
          <w:lang w:eastAsia="ru-RU"/>
        </w:rPr>
        <w:tab/>
        <w:t>размер первоначального взноса при получении кредита (займа), в том числе ипотечного, на приобретение или строительство жилья;</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2)</w:t>
      </w:r>
      <w:r w:rsidRPr="00AC114C">
        <w:rPr>
          <w:rFonts w:ascii="Times New Roman" w:hAnsi="Times New Roman"/>
          <w:sz w:val="24"/>
          <w:szCs w:val="24"/>
          <w:lang w:eastAsia="ru-RU"/>
        </w:rPr>
        <w:tab/>
        <w:t>размер остатка основного долга и процентов за пользование кредитом (займом) на момент поступления средств на счет организации.</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C114C">
        <w:rPr>
          <w:rFonts w:ascii="Times New Roman" w:hAnsi="Times New Roman"/>
          <w:sz w:val="24"/>
          <w:szCs w:val="24"/>
          <w:lang w:eastAsia="ru-RU"/>
        </w:rPr>
        <w:t xml:space="preserve">Излишне перечисленная сумма в течение пяти банковских дней со дня поступления </w:t>
      </w:r>
      <w:r w:rsidRPr="00AC114C">
        <w:rPr>
          <w:rFonts w:ascii="Times New Roman" w:hAnsi="Times New Roman"/>
          <w:sz w:val="24"/>
          <w:szCs w:val="24"/>
          <w:lang w:eastAsia="ru-RU"/>
        </w:rPr>
        <w:lastRenderedPageBreak/>
        <w:t>средств на счет кредитора подлежит возврату в ПФР на счет, с которого осуществлялось перечисление средств материнского капитала (ч. 1, 5, 7 ст. 10 Закона N 256-ФЗ; п. п. 4, 5, 19 Правил, утв. Постановлением Правительства РФ от 12.12.2007 N 862).</w:t>
      </w:r>
      <w:proofErr w:type="gramEnd"/>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Отказ от направления средств материнского капитала на формирование накопительной пенсии</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Женщины, выбравшие направление средств материнского капитала на формирование накопительной пенсии, до дня ее назначения вправе отказаться от использования средств по указанному направлению (п. 3 ч. 3 ст. 7, ч. 2 ст. 12 Закона N 256-ФЗ; п. п. 1, 3 ч. 1 ст. 3 Закона от 28.12.2013 N 424-ФЗ).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C114C">
        <w:rPr>
          <w:rFonts w:ascii="Times New Roman" w:hAnsi="Times New Roman"/>
          <w:sz w:val="24"/>
          <w:szCs w:val="24"/>
          <w:lang w:eastAsia="ru-RU"/>
        </w:rPr>
        <w:t>Заявление об отказе от направления средств материнского капитала на формирование накопительной пенсии может быть подано в ПФР в любое время по истечении трех лет со дня рождения (усыновления) ребенка, в связи с рождением (усыновлением) которого возникло право на материнский капитал (ч. 6 ст. 7, ч. 3 ст. 12 Закона N 256-ФЗ;</w:t>
      </w:r>
      <w:proofErr w:type="gramEnd"/>
      <w:r w:rsidRPr="00AC114C">
        <w:rPr>
          <w:rFonts w:ascii="Times New Roman" w:hAnsi="Times New Roman"/>
          <w:sz w:val="24"/>
          <w:szCs w:val="24"/>
          <w:lang w:eastAsia="ru-RU"/>
        </w:rPr>
        <w:t xml:space="preserve"> п. п. 3, 4 Правил, утв. Приказом Минтруда России от 11.03.2016 N 100н).</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После проверки факта назначения (отсутствия факта назначения) накопительной пенсии ПФР направляет в негосударственный пенсионный фонд (НПФ) или в управляющую компанию следующие документы, необходимые для осуществления отзыва средств материнского капитала (п. п. 12, 13 Правил N 100н):</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1)</w:t>
      </w:r>
      <w:r w:rsidRPr="00AC114C">
        <w:rPr>
          <w:rFonts w:ascii="Times New Roman" w:hAnsi="Times New Roman"/>
          <w:sz w:val="24"/>
          <w:szCs w:val="24"/>
          <w:lang w:eastAsia="ru-RU"/>
        </w:rPr>
        <w:tab/>
        <w:t>в НПФ: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уведомление о передаче средств материнского капитала;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запрос сведений о размере средств материнского капитала, учтенных на пенсионном счете накопительной пенсии женщины, и дохода от их инвестирования, если женщина указала необходимость в определении суммы средств материнского капитала, включая доход от их инвестирования;</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2)</w:t>
      </w:r>
      <w:r w:rsidRPr="00AC114C">
        <w:rPr>
          <w:rFonts w:ascii="Times New Roman" w:hAnsi="Times New Roman"/>
          <w:sz w:val="24"/>
          <w:szCs w:val="24"/>
          <w:lang w:eastAsia="ru-RU"/>
        </w:rPr>
        <w:tab/>
        <w:t>в управляющую компанию (если заявительница формирует накопительную пенсию через ПФР) - уведомление (требование) о перечислении средств пенсионных накоплений в ПФР с указанием сведений о сумме средств материнского капитала, учтенной в специальной части индивидуального лицевого счета женщины.</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НПФ возвращает средства материнского капитала в течение 30 календарных дней, управляющая компания - в течение пяти рабочих дней со дня получения соответствующего уведомления (п. п. 14, 15 Правил N 100н).</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По общему правилу женщины вправе в течение шести месяцев </w:t>
      </w:r>
      <w:proofErr w:type="gramStart"/>
      <w:r w:rsidRPr="00AC114C">
        <w:rPr>
          <w:rFonts w:ascii="Times New Roman" w:hAnsi="Times New Roman"/>
          <w:sz w:val="24"/>
          <w:szCs w:val="24"/>
          <w:lang w:eastAsia="ru-RU"/>
        </w:rPr>
        <w:t>с даты направления</w:t>
      </w:r>
      <w:proofErr w:type="gramEnd"/>
      <w:r w:rsidRPr="00AC114C">
        <w:rPr>
          <w:rFonts w:ascii="Times New Roman" w:hAnsi="Times New Roman"/>
          <w:sz w:val="24"/>
          <w:szCs w:val="24"/>
          <w:lang w:eastAsia="ru-RU"/>
        </w:rPr>
        <w:t xml:space="preserve"> им информации о поступлении возвращенных средств на счет ПФР обратиться с заявлением о распоряжении средствами материнского капитала по иному направлению (направлениям). Для женщин, отказавшихся от использования средств материнского капитала на формирование накопительной пенсии до 19.12.2020, течение указанного срока начинается с 19.12.2020.</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Если такое заявление в установленный срок не подано, средства материнского капитала считаются направленными на финансирование накопительной пенсии. ПФР обеспечивает перевод средств материнского капитала в тот же НПФ (управляющую компанию), в котором средства пенсионных накоплений формируются (формировались) в пользу женщины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2.1, 2.2 ст. 12 Закона N 256-ФЗ; ст. 4 Закона от 08.12.2020 N 409-ФЗ; п. п. 3, 22.1 Правил N 100н).</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Признание сделки купли-продажи жилого помещения недействительной</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C114C">
        <w:rPr>
          <w:rFonts w:ascii="Times New Roman" w:hAnsi="Times New Roman"/>
          <w:sz w:val="24"/>
          <w:szCs w:val="24"/>
          <w:lang w:eastAsia="ru-RU"/>
        </w:rPr>
        <w:t>Если средства материнского капитала были направлены на приобретение жилого помещения и впоследствии соответствующая сделка купли-продажи была признана судом недействительной, использованные средства материнского капитала должны быть возвращены в ПФР (п. 2 ст. 167 ГК РФ; п. 1 Обзора, утв. Президиумом Верховного Суда РФ 05.02.2014).</w:t>
      </w:r>
      <w:proofErr w:type="gramEnd"/>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t>Помощник прокурора Тимошенко Т.Е.</w:t>
      </w:r>
    </w:p>
    <w:p w:rsidR="005D54EC" w:rsidRPr="00AC114C" w:rsidRDefault="005D54EC" w:rsidP="00AC114C">
      <w:pPr>
        <w:widowControl w:val="0"/>
        <w:autoSpaceDE w:val="0"/>
        <w:autoSpaceDN w:val="0"/>
        <w:spacing w:after="0" w:line="240" w:lineRule="auto"/>
        <w:contextualSpacing/>
        <w:jc w:val="both"/>
        <w:rPr>
          <w:rFonts w:ascii="Times New Roman" w:hAnsi="Times New Roman"/>
          <w:sz w:val="24"/>
          <w:szCs w:val="24"/>
          <w:lang w:eastAsia="ru-RU"/>
        </w:rPr>
      </w:pPr>
    </w:p>
    <w:p w:rsidR="00514B22" w:rsidRPr="00AC114C" w:rsidRDefault="005D54EC" w:rsidP="00AC114C">
      <w:pPr>
        <w:widowControl w:val="0"/>
        <w:autoSpaceDE w:val="0"/>
        <w:autoSpaceDN w:val="0"/>
        <w:spacing w:after="0" w:line="240" w:lineRule="auto"/>
        <w:contextualSpacing/>
        <w:jc w:val="center"/>
        <w:rPr>
          <w:rFonts w:ascii="Times New Roman" w:hAnsi="Times New Roman"/>
          <w:sz w:val="24"/>
          <w:szCs w:val="24"/>
          <w:lang w:eastAsia="ru-RU"/>
        </w:rPr>
      </w:pPr>
      <w:r w:rsidRPr="00AC114C">
        <w:rPr>
          <w:rFonts w:ascii="Times New Roman" w:hAnsi="Times New Roman"/>
          <w:sz w:val="24"/>
          <w:szCs w:val="24"/>
          <w:lang w:eastAsia="ru-RU"/>
        </w:rPr>
        <w:t>Право  медицинских организаций на  разглашение информации о наличии у п</w:t>
      </w:r>
      <w:r w:rsidR="00514B22" w:rsidRPr="00AC114C">
        <w:rPr>
          <w:rFonts w:ascii="Times New Roman" w:hAnsi="Times New Roman"/>
          <w:sz w:val="24"/>
          <w:szCs w:val="24"/>
          <w:lang w:eastAsia="ru-RU"/>
        </w:rPr>
        <w:t xml:space="preserve">ациентов </w:t>
      </w:r>
      <w:proofErr w:type="spellStart"/>
      <w:r w:rsidR="00514B22" w:rsidRPr="00AC114C">
        <w:rPr>
          <w:rFonts w:ascii="Times New Roman" w:hAnsi="Times New Roman"/>
          <w:sz w:val="24"/>
          <w:szCs w:val="24"/>
          <w:lang w:eastAsia="ru-RU"/>
        </w:rPr>
        <w:t>коронавирусной</w:t>
      </w:r>
      <w:proofErr w:type="spellEnd"/>
      <w:r w:rsidR="00514B22" w:rsidRPr="00AC114C">
        <w:rPr>
          <w:rFonts w:ascii="Times New Roman" w:hAnsi="Times New Roman"/>
          <w:sz w:val="24"/>
          <w:szCs w:val="24"/>
          <w:lang w:eastAsia="ru-RU"/>
        </w:rPr>
        <w:t xml:space="preserve"> инфекции</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lastRenderedPageBreak/>
        <w:tab/>
        <w:t>При отсутствии согласия пациента информация о наличии у него коронавирусной инфекции может быть предоставлена медицинской организацией только в установленных случаях, в частности при угрозе распространения инфекционного заболевания.</w:t>
      </w:r>
      <w:r w:rsidRPr="00AC114C">
        <w:rPr>
          <w:rFonts w:ascii="Times New Roman" w:hAnsi="Times New Roman"/>
          <w:sz w:val="24"/>
          <w:szCs w:val="24"/>
          <w:lang w:eastAsia="ru-RU"/>
        </w:rPr>
        <w:tab/>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1 ст. 13 Закона от 21.11.2011 N 323-ФЗ).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Медицинские организации обязаны соблюдать врачебную тайну, в том числе конфиденциальность персональных данных, используемых в медицинских информационных системах. Обработка персональных данных в информационных системах в сфере здравоохранения также осуществляется с соблюдением врачебной тайны (п. 4 ч. 1 ст. 79, ч. 2 ст. 91 Закона N 323-ФЗ).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Сведения о вакцинации от COVID-19, а также о том, что гражданин перенес COVID-19 и с даты его выздоровления прошло не более 12 календарных месяцев, относятся к сведениям, составляющим врачебную тайну (п. 5.3.1 Порядка, утв. Распоряжением Департамента информационных технологий </w:t>
      </w:r>
      <w:proofErr w:type="gramStart"/>
      <w:r w:rsidRPr="00AC114C">
        <w:rPr>
          <w:rFonts w:ascii="Times New Roman" w:hAnsi="Times New Roman"/>
          <w:sz w:val="24"/>
          <w:szCs w:val="24"/>
          <w:lang w:eastAsia="ru-RU"/>
        </w:rPr>
        <w:t>г</w:t>
      </w:r>
      <w:proofErr w:type="gramEnd"/>
      <w:r w:rsidRPr="00AC114C">
        <w:rPr>
          <w:rFonts w:ascii="Times New Roman" w:hAnsi="Times New Roman"/>
          <w:sz w:val="24"/>
          <w:szCs w:val="24"/>
          <w:lang w:eastAsia="ru-RU"/>
        </w:rPr>
        <w:t>. Москвы от 01.11.2021 N 64-16-591/21).</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Предоставление информации с согласия пациента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По общему правилу разглашение сведений, составляющих врачебную тайну, в том числе после смерти человека, запрещено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2 ст. 13 Закона N 323-ФЗ).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Разглашение таких сведений другим гражданам, в том числе должностным лицам, допускается, в частности,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только с письменного согласия гражданина или его законного представителя. Согласие на их разглашение может быть выражено также в информированном добровольном согласии на медицинское вмешательство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3 ст. 13 Закона N 323-ФЗ).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Изложенные требования действуют также в отношении информации о наличии у пациента коронавирусной инфекции (COVID-19).</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C114C">
        <w:rPr>
          <w:rFonts w:ascii="Times New Roman" w:hAnsi="Times New Roman"/>
          <w:sz w:val="24"/>
          <w:szCs w:val="24"/>
          <w:lang w:eastAsia="ru-RU"/>
        </w:rPr>
        <w:t xml:space="preserve">При наличии согласия пациента (его законного представителя) организации, осуществляющие исследования на наличие возбудителя COVID-19 методом ПЦР, на наличие антител (в том числе после вакцинации), должны обеспечить передачу, в частности, следующих сведений о результатах таких исследований в ФБУ науки "Центральный научно-исследовательский институт эпидемиологии" </w:t>
      </w:r>
      <w:proofErr w:type="spellStart"/>
      <w:r w:rsidRPr="00AC114C">
        <w:rPr>
          <w:rFonts w:ascii="Times New Roman" w:hAnsi="Times New Roman"/>
          <w:sz w:val="24"/>
          <w:szCs w:val="24"/>
          <w:lang w:eastAsia="ru-RU"/>
        </w:rPr>
        <w:t>Роспотребнадзора</w:t>
      </w:r>
      <w:proofErr w:type="spellEnd"/>
      <w:r w:rsidRPr="00AC114C">
        <w:rPr>
          <w:rFonts w:ascii="Times New Roman" w:hAnsi="Times New Roman"/>
          <w:sz w:val="24"/>
          <w:szCs w:val="24"/>
          <w:lang w:eastAsia="ru-RU"/>
        </w:rPr>
        <w:t xml:space="preserve"> (п. 2 Постановления Правительства РФ от 27.03.2021 N 452):</w:t>
      </w:r>
      <w:proofErr w:type="gramEnd"/>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Ф.И.О. (отчество - при наличии) пациента, СНИЛС, серия и номер документа, удостоверяющего его личность;</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дата забора биоматериала;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дата проведения исследования;</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результат исследования.</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Предоставление информации без согласия пациента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Вместе с тем законодательством установлены случаи, при которых возможно предоставление сведений, составляющих врачебную тайну, без согласия гражданина (его законного представителя). К таким случаям, в частности, относятся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4 ст. 13 Закона N 323-ФЗ):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1)</w:t>
      </w:r>
      <w:r w:rsidRPr="00AC114C">
        <w:rPr>
          <w:rFonts w:ascii="Times New Roman" w:hAnsi="Times New Roman"/>
          <w:sz w:val="24"/>
          <w:szCs w:val="24"/>
          <w:lang w:eastAsia="ru-RU"/>
        </w:rPr>
        <w:tab/>
        <w:t>проведение медицинского обследования и лечения гражданина, который в результате своего состояния не способен выразить свою волю;</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2)</w:t>
      </w:r>
      <w:r w:rsidRPr="00AC114C">
        <w:rPr>
          <w:rFonts w:ascii="Times New Roman" w:hAnsi="Times New Roman"/>
          <w:sz w:val="24"/>
          <w:szCs w:val="24"/>
          <w:lang w:eastAsia="ru-RU"/>
        </w:rPr>
        <w:tab/>
        <w:t>угроза распространения инфекционных заболеваний;</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3)</w:t>
      </w:r>
      <w:r w:rsidRPr="00AC114C">
        <w:rPr>
          <w:rFonts w:ascii="Times New Roman" w:hAnsi="Times New Roman"/>
          <w:sz w:val="24"/>
          <w:szCs w:val="24"/>
          <w:lang w:eastAsia="ru-RU"/>
        </w:rPr>
        <w:tab/>
        <w:t>наличие запроса органов дознания и следствия, суда в связи с проведением расследования или судебным разбирательством, запроса органов прокуратуры в связи с осуществлением ими прокурорского надзора;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4)</w:t>
      </w:r>
      <w:r w:rsidRPr="00AC114C">
        <w:rPr>
          <w:rFonts w:ascii="Times New Roman" w:hAnsi="Times New Roman"/>
          <w:sz w:val="24"/>
          <w:szCs w:val="24"/>
          <w:lang w:eastAsia="ru-RU"/>
        </w:rPr>
        <w:tab/>
        <w:t>информирование органов внутренних дел, в частности, о поступлении пациента, который по состоянию здоровья, возрасту или иным причинам не может сообщить данные о своей личности, либо о смерти пациента, личность которого не установлена;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5)</w:t>
      </w:r>
      <w:r w:rsidRPr="00AC114C">
        <w:rPr>
          <w:rFonts w:ascii="Times New Roman" w:hAnsi="Times New Roman"/>
          <w:sz w:val="24"/>
          <w:szCs w:val="24"/>
          <w:lang w:eastAsia="ru-RU"/>
        </w:rPr>
        <w:tab/>
        <w:t xml:space="preserve">обмен информацией медицинскими организациями, в том числе размещенной в </w:t>
      </w:r>
      <w:r w:rsidRPr="00AC114C">
        <w:rPr>
          <w:rFonts w:ascii="Times New Roman" w:hAnsi="Times New Roman"/>
          <w:sz w:val="24"/>
          <w:szCs w:val="24"/>
          <w:lang w:eastAsia="ru-RU"/>
        </w:rPr>
        <w:lastRenderedPageBreak/>
        <w:t>медицинских информационных системах, в целях оказания медицинской помощи с учетом требований законодательства РФ о персональных данных;</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6)</w:t>
      </w:r>
      <w:r w:rsidRPr="00AC114C">
        <w:rPr>
          <w:rFonts w:ascii="Times New Roman" w:hAnsi="Times New Roman"/>
          <w:sz w:val="24"/>
          <w:szCs w:val="24"/>
          <w:lang w:eastAsia="ru-RU"/>
        </w:rPr>
        <w:tab/>
        <w:t>осуществление учета и контроля в системе обязательного социального страхования.</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C114C">
        <w:rPr>
          <w:rFonts w:ascii="Times New Roman" w:hAnsi="Times New Roman"/>
          <w:sz w:val="24"/>
          <w:szCs w:val="24"/>
          <w:lang w:eastAsia="ru-RU"/>
        </w:rPr>
        <w:t>Кроме того, при неблагоприятном прогнозе развития заболевания допускается предоставление информации о состоянии здоровья пациента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(ч. 3 ст. 22 Закона N 323-ФЗ).</w:t>
      </w:r>
      <w:proofErr w:type="gramEnd"/>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C114C">
        <w:rPr>
          <w:rFonts w:ascii="Times New Roman" w:hAnsi="Times New Roman"/>
          <w:sz w:val="24"/>
          <w:szCs w:val="24"/>
          <w:lang w:eastAsia="ru-RU"/>
        </w:rPr>
        <w:t>В случае смерти пациента его медицинские документы (их копии), выписки из них могут получить супруга (супруг) умершего, близкие родственники либо иные лица, указанные пациентом (его законным представителем) в письменном согласии на разглашение сведений, составляющих врачебную тайну, или в информированном добровольном согласии на медицинское вмешательство, если пациент (его законный представитель) не запретил разглашение сведений, составляющих врачебную тайну (ч. 7 ст. 20</w:t>
      </w:r>
      <w:proofErr w:type="gramEnd"/>
      <w:r w:rsidRPr="00AC114C">
        <w:rPr>
          <w:rFonts w:ascii="Times New Roman" w:hAnsi="Times New Roman"/>
          <w:sz w:val="24"/>
          <w:szCs w:val="24"/>
          <w:lang w:eastAsia="ru-RU"/>
        </w:rPr>
        <w:t>, ч. 5 ст. 22 Закона N 323-ФЗ).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C114C">
        <w:rPr>
          <w:rFonts w:ascii="Times New Roman" w:hAnsi="Times New Roman"/>
          <w:sz w:val="24"/>
          <w:szCs w:val="24"/>
          <w:lang w:eastAsia="ru-RU"/>
        </w:rPr>
        <w:t>Разглашение информации о наличии у пациента коронавирусной инфекции также возможно при выдаче заключения о причине смерти и диагнозе заболевания супругу, близкому родственнику (детям, родителям, усыновленным, усыновителям, родным братьям и родным сестрам, внукам, дедушкам, бабушкам), а при их отсутствии - иным родственникам либо законному представителю умершего, уполномоченным органам по их требованию (ч. 5 ст. 67 Закона N 323-ФЗ).</w:t>
      </w:r>
      <w:proofErr w:type="gramEnd"/>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За нарушение медицинской организацией врачебной тайны предусмотрена гражданско-правовая ответственность (ст. ст. 15, 150, 151, 1064, 1068, 1099, 1101 ГК РФ).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t>Помощник прокурора Тимошенко Т.Е.</w:t>
      </w:r>
    </w:p>
    <w:p w:rsidR="0070303A" w:rsidRPr="00AC114C" w:rsidRDefault="0070303A"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5D54EC" w:rsidRPr="00AC114C" w:rsidRDefault="005D54EC" w:rsidP="00AC114C">
      <w:pPr>
        <w:widowControl w:val="0"/>
        <w:autoSpaceDE w:val="0"/>
        <w:autoSpaceDN w:val="0"/>
        <w:spacing w:after="0" w:line="240" w:lineRule="auto"/>
        <w:ind w:firstLine="540"/>
        <w:contextualSpacing/>
        <w:jc w:val="center"/>
        <w:rPr>
          <w:rFonts w:ascii="Times New Roman" w:hAnsi="Times New Roman"/>
          <w:sz w:val="24"/>
          <w:szCs w:val="24"/>
          <w:lang w:eastAsia="ru-RU"/>
        </w:rPr>
      </w:pPr>
      <w:r w:rsidRPr="00AC114C">
        <w:rPr>
          <w:rFonts w:ascii="Times New Roman" w:hAnsi="Times New Roman"/>
          <w:sz w:val="24"/>
          <w:szCs w:val="24"/>
          <w:lang w:eastAsia="ru-RU"/>
        </w:rPr>
        <w:t>Использование полиграфа работодателем в отношении работников.</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ab/>
        <w:t>Работодатель в большинстве случаев вправе использовать полиграф в отношении работника (кандидата), но только с его письменного согласия и при соблюдении определенных ограничений, в частности тематики задаваемых вопросов.</w:t>
      </w:r>
      <w:r w:rsidRPr="00AC114C">
        <w:rPr>
          <w:rFonts w:ascii="Times New Roman" w:hAnsi="Times New Roman"/>
          <w:sz w:val="24"/>
          <w:szCs w:val="24"/>
          <w:lang w:eastAsia="ru-RU"/>
        </w:rPr>
        <w:tab/>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C114C">
        <w:rPr>
          <w:rFonts w:ascii="Times New Roman" w:hAnsi="Times New Roman"/>
          <w:sz w:val="24"/>
          <w:szCs w:val="24"/>
          <w:lang w:eastAsia="ru-RU"/>
        </w:rPr>
        <w:t>Полиграф (детектор лжи) - это прибор, предназначенный для регистрации с помощью датчиков физиологических процессов, связанных с возникновением эмоций, изменением дыхания, кровяного давления, биотоков мозга, сердца, кожи, мускулатуры и т.д.</w:t>
      </w:r>
      <w:proofErr w:type="gramEnd"/>
      <w:r w:rsidRPr="00AC114C">
        <w:rPr>
          <w:rFonts w:ascii="Times New Roman" w:hAnsi="Times New Roman"/>
          <w:sz w:val="24"/>
          <w:szCs w:val="24"/>
          <w:lang w:eastAsia="ru-RU"/>
        </w:rPr>
        <w:t xml:space="preserve"> Полиграф регистрирует эмоциональное состояние испытуемого при воздействии на него вербальных и невербальных раздражителей и дает оценку его стрессового состояния. Стресс, вызываемый страхом, беспокойством, виной или конфликтом, облегчает выявление преднамеренного обмана во время беседы.</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Условия для проведения проверки на полиграфе</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Применение полиграфа в деятельности работодателей законодательно не регламентировано. При этом законодательство РФ не запрещает работодателю использовать полиграф для проверки кандидатов и действующих работников с целью получения в ходе такой проверки ответов на вопросы, касающиеся лояльности работника к работодателю, а также деловых и профессиональных качеств работника.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Работодатель может проверить кандидата или работника на полиграфе при определенных условиях. Главным из них является письменное согласие гражданина на проведение психофизиологической экспертизы, каковой является проверка на полиграфе, поскольку никто не может быть без добровольного согласия подвергнут медицинским, научным или иным опытам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2 ст. 21 Конституции РФ). Получить письменное согласие испытуемого работодатель должен до проведения проверки.</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lastRenderedPageBreak/>
        <w:t>Согласие на проведение психофизиологической экспертизы обязательно должно содержать:</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разъяснение о праве выбора гражданина дать согласие на экспертизу или отказаться от нее;</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перечень вопросов, по которым будет проводиться психофизиологическая экспертиза;</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разъяснение о праве гражданина в любой момент отказаться от экспертизы;</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w:t>
      </w:r>
      <w:r w:rsidRPr="00AC114C">
        <w:rPr>
          <w:rFonts w:ascii="Times New Roman" w:hAnsi="Times New Roman"/>
          <w:sz w:val="24"/>
          <w:szCs w:val="24"/>
          <w:lang w:eastAsia="ru-RU"/>
        </w:rPr>
        <w:tab/>
        <w:t>обязательство работодателя использовать результаты экспертизы только для целей рассмотрения возможности приема кандидата на работу или соответствия работника занимаемой должности.</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Еще одно ограничение связано с задаваемыми в процессе проверки вопросами. </w:t>
      </w:r>
      <w:proofErr w:type="gramStart"/>
      <w:r w:rsidRPr="00AC114C">
        <w:rPr>
          <w:rFonts w:ascii="Times New Roman" w:hAnsi="Times New Roman"/>
          <w:sz w:val="24"/>
          <w:szCs w:val="24"/>
          <w:lang w:eastAsia="ru-RU"/>
        </w:rPr>
        <w:t>В перечень вопросов при проверке на полиграфе не могут быть включены вопросы, касающиеся расовой, национальной принадлежности, политических взглядов, религиозных или философских убеждений, состояния здоровья, интимной жизни, если гражданин не дал на это письменного согласия (п. 4 ст. 86 ТК РФ; ч. 1, п. 1 ч. 2 ст. 10 Закона от 27.07.2006 N 152-ФЗ).</w:t>
      </w:r>
      <w:proofErr w:type="gramEnd"/>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Информация, полученная в результате проверки на полиграфе, относится к персональным данным гражданина (п. 1 ст. 3 Закона от 27.07.2006 N 152-ФЗ).</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Не следует проверять на полиграфе беременных женщин, несовершеннолетних детей, лиц с психическим расстройством или психическим истощением, с </w:t>
      </w:r>
      <w:proofErr w:type="spellStart"/>
      <w:proofErr w:type="gramStart"/>
      <w:r w:rsidRPr="00AC114C">
        <w:rPr>
          <w:rFonts w:ascii="Times New Roman" w:hAnsi="Times New Roman"/>
          <w:sz w:val="24"/>
          <w:szCs w:val="24"/>
          <w:lang w:eastAsia="ru-RU"/>
        </w:rPr>
        <w:t>сердечно-сосудистыми</w:t>
      </w:r>
      <w:proofErr w:type="spellEnd"/>
      <w:proofErr w:type="gramEnd"/>
      <w:r w:rsidRPr="00AC114C">
        <w:rPr>
          <w:rFonts w:ascii="Times New Roman" w:hAnsi="Times New Roman"/>
          <w:sz w:val="24"/>
          <w:szCs w:val="24"/>
          <w:lang w:eastAsia="ru-RU"/>
        </w:rPr>
        <w:t xml:space="preserve"> заболеваниями или заболеваниями дыхательных органов, а также находящихся в алкогольном или наркотическом опьянении.</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Последствия отказа от обследования на полиграфе</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Отказ от проверки на полиграфе по общему правилу не влечет для гражданина никаких последствий. То есть на основании отказа кандидата или работника пройти проверку на полиграфе работодатель не может соответственно отказать в приеме на работу или применить меры взыскания к работнику. Любые действия, которые работодатель совершает на основании лишь одного отказа работника пройти проверку на полиграфе, могут быть этим работником обжалованы (например, как незаконный отказ в приеме на работу, как дискриминация в отношении работника со стороны работодателя).</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Если кандидат подозревает, что работодатель отказывает ему в приеме на работу в связи с отказом от проверки на полиграфе, он вправе направить работодателю письменное требование о сообщении ему причины отказа. Работодатель обязан сообщить причину отказа в письменной форме не позднее чем в течение семи рабочих дней со дня предъявления такого требования. Непредставление письменного отказа работодателя и сам отказ в заключени</w:t>
      </w:r>
      <w:proofErr w:type="gramStart"/>
      <w:r w:rsidRPr="00AC114C">
        <w:rPr>
          <w:rFonts w:ascii="Times New Roman" w:hAnsi="Times New Roman"/>
          <w:sz w:val="24"/>
          <w:szCs w:val="24"/>
          <w:lang w:eastAsia="ru-RU"/>
        </w:rPr>
        <w:t>и</w:t>
      </w:r>
      <w:proofErr w:type="gramEnd"/>
      <w:r w:rsidRPr="00AC114C">
        <w:rPr>
          <w:rFonts w:ascii="Times New Roman" w:hAnsi="Times New Roman"/>
          <w:sz w:val="24"/>
          <w:szCs w:val="24"/>
          <w:lang w:eastAsia="ru-RU"/>
        </w:rPr>
        <w:t xml:space="preserve"> трудового договора гражданин может обжаловать в суд общей юрисдикции (ч. 5, 6 ст. 64 ТК РФ).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За необоснованный отказ в принятии кандидата на работу работодатель может быть привлечен к административной ответственности (</w:t>
      </w:r>
      <w:proofErr w:type="gramStart"/>
      <w:r w:rsidRPr="00AC114C">
        <w:rPr>
          <w:rFonts w:ascii="Times New Roman" w:hAnsi="Times New Roman"/>
          <w:sz w:val="24"/>
          <w:szCs w:val="24"/>
          <w:lang w:eastAsia="ru-RU"/>
        </w:rPr>
        <w:t>ч</w:t>
      </w:r>
      <w:proofErr w:type="gramEnd"/>
      <w:r w:rsidRPr="00AC114C">
        <w:rPr>
          <w:rFonts w:ascii="Times New Roman" w:hAnsi="Times New Roman"/>
          <w:sz w:val="24"/>
          <w:szCs w:val="24"/>
          <w:lang w:eastAsia="ru-RU"/>
        </w:rPr>
        <w:t xml:space="preserve">. 1, 2 ст. 5.27 </w:t>
      </w:r>
      <w:proofErr w:type="spellStart"/>
      <w:r w:rsidRPr="00AC114C">
        <w:rPr>
          <w:rFonts w:ascii="Times New Roman" w:hAnsi="Times New Roman"/>
          <w:sz w:val="24"/>
          <w:szCs w:val="24"/>
          <w:lang w:eastAsia="ru-RU"/>
        </w:rPr>
        <w:t>КоАП</w:t>
      </w:r>
      <w:proofErr w:type="spellEnd"/>
      <w:r w:rsidRPr="00AC114C">
        <w:rPr>
          <w:rFonts w:ascii="Times New Roman" w:hAnsi="Times New Roman"/>
          <w:sz w:val="24"/>
          <w:szCs w:val="24"/>
          <w:lang w:eastAsia="ru-RU"/>
        </w:rPr>
        <w:t xml:space="preserve"> РФ).</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 xml:space="preserve">В то же время результаты проверки на полиграфе в РФ имеют рекомендательное значение и не могут являться юридическим доказательством какого-либо факта. Например, если по результатам проверки на полиграфе выявлено, что работник совершил кражу, уволить его на основании этого неправомерно. </w:t>
      </w:r>
      <w:proofErr w:type="gramStart"/>
      <w:r w:rsidRPr="00AC114C">
        <w:rPr>
          <w:rFonts w:ascii="Times New Roman" w:hAnsi="Times New Roman"/>
          <w:sz w:val="24"/>
          <w:szCs w:val="24"/>
          <w:lang w:eastAsia="ru-RU"/>
        </w:rPr>
        <w:t>Уволить за совершение по месту работы хищения (в том числе мелкого) чужого имущества, растраты, умышленного его уничтожения или повреждения правомерно только на основании установления данных фактов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roofErr w:type="spellStart"/>
      <w:r w:rsidRPr="00AC114C">
        <w:rPr>
          <w:rFonts w:ascii="Times New Roman" w:hAnsi="Times New Roman"/>
          <w:sz w:val="24"/>
          <w:szCs w:val="24"/>
          <w:lang w:eastAsia="ru-RU"/>
        </w:rPr>
        <w:t>пп</w:t>
      </w:r>
      <w:proofErr w:type="spellEnd"/>
      <w:r w:rsidRPr="00AC114C">
        <w:rPr>
          <w:rFonts w:ascii="Times New Roman" w:hAnsi="Times New Roman"/>
          <w:sz w:val="24"/>
          <w:szCs w:val="24"/>
          <w:lang w:eastAsia="ru-RU"/>
        </w:rPr>
        <w:t>. "г" п. 6 ст. 81 ТК РФ).</w:t>
      </w:r>
      <w:proofErr w:type="gramEnd"/>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Таким образом, работодатель вправе использовать полиграф, но только с письменного согласия кандидата или работника и при соблюдении определенных ограничений, в частности тематики задаваемых вопросов.</w:t>
      </w:r>
    </w:p>
    <w:p w:rsidR="005D54EC" w:rsidRPr="00AC114C" w:rsidRDefault="005D54EC" w:rsidP="005D54EC">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r>
      <w:r w:rsidRPr="00AC114C">
        <w:rPr>
          <w:rFonts w:ascii="Times New Roman" w:hAnsi="Times New Roman"/>
          <w:sz w:val="24"/>
          <w:szCs w:val="24"/>
          <w:lang w:eastAsia="ru-RU"/>
        </w:rPr>
        <w:tab/>
        <w:t>Помощник прокурора Тимошенко Т.Е.</w:t>
      </w:r>
    </w:p>
    <w:p w:rsidR="0070303A" w:rsidRPr="00AC114C" w:rsidRDefault="0070303A" w:rsidP="005D54EC">
      <w:pPr>
        <w:pStyle w:val="ConsPlusNormal"/>
        <w:contextualSpacing/>
        <w:jc w:val="center"/>
        <w:outlineLvl w:val="0"/>
        <w:rPr>
          <w:bCs/>
        </w:rPr>
      </w:pPr>
    </w:p>
    <w:p w:rsidR="0070303A" w:rsidRPr="00AC114C" w:rsidRDefault="0070303A" w:rsidP="00514B22">
      <w:pPr>
        <w:pStyle w:val="ConsPlusNormal"/>
        <w:contextualSpacing/>
        <w:outlineLvl w:val="0"/>
        <w:rPr>
          <w:bCs/>
        </w:rPr>
      </w:pPr>
    </w:p>
    <w:p w:rsidR="005D54EC" w:rsidRPr="00AC114C" w:rsidRDefault="005D54EC" w:rsidP="005D54EC">
      <w:pPr>
        <w:pStyle w:val="ConsPlusNormal"/>
        <w:contextualSpacing/>
        <w:jc w:val="center"/>
        <w:outlineLvl w:val="0"/>
      </w:pPr>
      <w:r w:rsidRPr="00AC114C">
        <w:rPr>
          <w:bCs/>
        </w:rPr>
        <w:lastRenderedPageBreak/>
        <w:t>Право на отказ от вакцинации</w:t>
      </w:r>
    </w:p>
    <w:p w:rsidR="005D54EC" w:rsidRPr="00AC114C" w:rsidRDefault="005D54EC" w:rsidP="005D54EC">
      <w:pPr>
        <w:pStyle w:val="ConsPlusNormal"/>
        <w:contextualSpacing/>
        <w:jc w:val="both"/>
      </w:pPr>
      <w:r w:rsidRPr="00AC114C">
        <w:tab/>
        <w:t>Вакцинация (профилактическая прививка) является одним из видов медицинских вмешательств (п. 5 ч. 1 ст. 2 Закона от 21.11.2011 N 323-ФЗ; ст. 1 Закона от 17.09.1998 N 157-ФЗ).</w:t>
      </w:r>
    </w:p>
    <w:p w:rsidR="005D54EC" w:rsidRPr="00AC114C" w:rsidRDefault="005D54EC" w:rsidP="005D54EC">
      <w:pPr>
        <w:pStyle w:val="ConsPlusNormal"/>
        <w:contextualSpacing/>
        <w:jc w:val="both"/>
      </w:pPr>
      <w:r w:rsidRPr="00AC114C">
        <w:tab/>
        <w:t>Гражданин, один из родителей или иной законный представитель несовершеннолетнего в возрасте до 15 лет или больного наркоманией несовершеннолетнего в возрасте до 16 лет, законный представитель лица, признанного недееспособным, вправе отказаться от вакцинации (</w:t>
      </w:r>
      <w:proofErr w:type="gramStart"/>
      <w:r w:rsidRPr="00AC114C">
        <w:t>ч</w:t>
      </w:r>
      <w:proofErr w:type="gramEnd"/>
      <w:r w:rsidRPr="00AC114C">
        <w:t>. 3 ст. 20 Закона N 323-ФЗ; п. 1 ст. 5, п. 2 ст. 11 Закона N 157-ФЗ).</w:t>
      </w:r>
    </w:p>
    <w:p w:rsidR="005D54EC" w:rsidRPr="00AC114C" w:rsidRDefault="005D54EC" w:rsidP="005D54EC">
      <w:pPr>
        <w:pStyle w:val="ConsPlusNormal"/>
        <w:contextualSpacing/>
        <w:jc w:val="both"/>
      </w:pPr>
      <w:bookmarkStart w:id="0" w:name="Par10"/>
      <w:bookmarkEnd w:id="0"/>
      <w:r w:rsidRPr="00AC114C">
        <w:tab/>
        <w:t>Отказ от проведения медицинского вмешательства, в частности профилактических прививок (в том числе против COVID-19), содержится в медицинской документации гражданина и оформляется в виде документа на бумажном носителе, подписанного гражданином, одним из родителей (иным законным представителем), медицинским работником, либо формируется в форме электронного документа. В свою очередь, электронный документ должен быть подписан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ЕСИА, а также медицинским работником с использованием усиленной квалифицированной электронной подписи.</w:t>
      </w:r>
    </w:p>
    <w:p w:rsidR="005D54EC" w:rsidRPr="00AC114C" w:rsidRDefault="005D54EC" w:rsidP="005D54EC">
      <w:pPr>
        <w:pStyle w:val="ConsPlusNormal"/>
        <w:contextualSpacing/>
        <w:jc w:val="both"/>
      </w:pPr>
      <w:r w:rsidRPr="00AC114C">
        <w:tab/>
        <w:t>При этом отказ от вакцинации одного из родителей (иного законного представителя) может быть в форме электронного документа при наличии в медицинской документации пациента сведений о его законном представителе (</w:t>
      </w:r>
      <w:proofErr w:type="gramStart"/>
      <w:r w:rsidRPr="00AC114C">
        <w:t>ч</w:t>
      </w:r>
      <w:proofErr w:type="gramEnd"/>
      <w:r w:rsidRPr="00AC114C">
        <w:t xml:space="preserve">. 7 ст. 20 Закона N 323-ФЗ; п. п. 1, 3 ст. 5 Закона N 157-ФЗ; п. п. 72, 1666 </w:t>
      </w:r>
      <w:proofErr w:type="spellStart"/>
      <w:r w:rsidRPr="00AC114C">
        <w:t>СанПиН</w:t>
      </w:r>
      <w:proofErr w:type="spellEnd"/>
      <w:r w:rsidRPr="00AC114C">
        <w:t xml:space="preserve"> 3.3686-21, утв. Постановлением Главного государственного санитарного врача РФ от 28.01.2021 N 4; Письмо Минздрава России от 13.07.2015 N 24-2/3048428-1510).</w:t>
      </w:r>
    </w:p>
    <w:p w:rsidR="005D54EC" w:rsidRPr="00AC114C" w:rsidRDefault="005D54EC" w:rsidP="005D54EC">
      <w:pPr>
        <w:pStyle w:val="ConsPlusNormal"/>
        <w:contextualSpacing/>
        <w:jc w:val="both"/>
      </w:pPr>
      <w:r w:rsidRPr="00AC114C">
        <w:tab/>
        <w:t>При отказе от медицинского вмешательства гражданину, одному из родителей или иному законному представителю указанных выше лиц в доступной форме должны быть разъяснены возможные последствия такого отказа (</w:t>
      </w:r>
      <w:proofErr w:type="gramStart"/>
      <w:r w:rsidRPr="00AC114C">
        <w:t>ч</w:t>
      </w:r>
      <w:proofErr w:type="gramEnd"/>
      <w:r w:rsidRPr="00AC114C">
        <w:t>. 4 ст. 20 Закона N 323-ФЗ; п. 1 ст. 5 Закона N 157-ФЗ).</w:t>
      </w:r>
    </w:p>
    <w:p w:rsidR="005D54EC" w:rsidRPr="00AC114C" w:rsidRDefault="005D54EC" w:rsidP="005D54EC">
      <w:pPr>
        <w:pStyle w:val="ConsPlusNormal"/>
        <w:contextualSpacing/>
        <w:jc w:val="both"/>
      </w:pPr>
      <w:r w:rsidRPr="00AC114C">
        <w:tab/>
      </w:r>
      <w:proofErr w:type="gramStart"/>
      <w:r w:rsidRPr="00AC114C">
        <w:t>Таким образом, недопустимо проведение принудительной вакцинации (в том числе против COVID-19 либо гриппа) в отношении, например, сотрудников - по инициативе работодателя или детей - по инициативе администрации образовательного учреждения, поскольку вакцинация требует добровольное информированное согласие пациента (его законного представителя) (п. 2 ст. 11 Закона N 157-ФЗ; п. 5.1 Клинических рекомендаций, утв. Минздравом России;</w:t>
      </w:r>
      <w:proofErr w:type="gramEnd"/>
      <w:r w:rsidRPr="00AC114C">
        <w:t xml:space="preserve"> п. 6 Приложения к Письму Минздрава России от 28.12.2020 N 1/и/1-9601; п. 6.2 разд. 6 Приложения к Письму Минздрава России от 30.10.2021 N 30-4</w:t>
      </w:r>
      <w:proofErr w:type="gramStart"/>
      <w:r w:rsidRPr="00AC114C">
        <w:t>/И</w:t>
      </w:r>
      <w:proofErr w:type="gramEnd"/>
      <w:r w:rsidRPr="00AC114C">
        <w:t>/2-17927).</w:t>
      </w:r>
    </w:p>
    <w:p w:rsidR="005D54EC" w:rsidRPr="00AC114C" w:rsidRDefault="005D54EC" w:rsidP="005D54EC">
      <w:pPr>
        <w:pStyle w:val="ConsPlusNormal"/>
        <w:contextualSpacing/>
        <w:jc w:val="both"/>
      </w:pPr>
      <w:r w:rsidRPr="00AC114C">
        <w:tab/>
        <w:t>Вместе с тем при определенных обстоятельствах отказ от вакцинации может повлечь негативные последствия, в частности отстранение сотрудника от работы или отказ в приеме ребенка в детский сад.</w:t>
      </w:r>
    </w:p>
    <w:p w:rsidR="005D54EC" w:rsidRPr="00AC114C" w:rsidRDefault="005D54EC" w:rsidP="005D54EC">
      <w:pPr>
        <w:pStyle w:val="ConsPlusNormal"/>
        <w:contextualSpacing/>
        <w:jc w:val="both"/>
      </w:pPr>
      <w:r w:rsidRPr="00AC114C">
        <w:tab/>
      </w:r>
      <w:r w:rsidRPr="00AC114C">
        <w:rPr>
          <w:bCs/>
        </w:rPr>
        <w:t>Последствия отказа от вакцинации, ответственность</w:t>
      </w:r>
    </w:p>
    <w:p w:rsidR="005D54EC" w:rsidRPr="00AC114C" w:rsidRDefault="005D54EC" w:rsidP="005D54EC">
      <w:pPr>
        <w:pStyle w:val="ConsPlusNormal"/>
        <w:contextualSpacing/>
        <w:jc w:val="both"/>
      </w:pPr>
      <w:r w:rsidRPr="00AC114C">
        <w:tab/>
        <w:t>Отсутствие профилактических прививок влечет, в частности (п. 2 ст. 5 Закона N 157-ФЗ; Перечень, утв. Постановлением Правительства РФ от 15.07.1999 N 825):</w:t>
      </w:r>
    </w:p>
    <w:p w:rsidR="005D54EC" w:rsidRPr="00AC114C" w:rsidRDefault="005D54EC" w:rsidP="005D54EC">
      <w:pPr>
        <w:pStyle w:val="ConsPlusNormal"/>
        <w:ind w:left="313"/>
        <w:contextualSpacing/>
        <w:jc w:val="both"/>
      </w:pPr>
      <w:r w:rsidRPr="00AC114C">
        <w:t>1. запрет на вые</w:t>
      </w:r>
      <w:proofErr w:type="gramStart"/>
      <w:r w:rsidRPr="00AC114C">
        <w:t>зд в стр</w:t>
      </w:r>
      <w:proofErr w:type="gramEnd"/>
      <w:r w:rsidRPr="00AC114C">
        <w:t>аны, пребывание в которых, в соответствии с международными медико-санитарными правилами либо международными договорами РФ, требует конкретных профилактических прививок;</w:t>
      </w:r>
    </w:p>
    <w:p w:rsidR="005D54EC" w:rsidRPr="00AC114C" w:rsidRDefault="005D54EC" w:rsidP="005D54EC">
      <w:pPr>
        <w:pStyle w:val="ConsPlusNormal"/>
        <w:ind w:left="313"/>
        <w:contextualSpacing/>
        <w:jc w:val="both"/>
      </w:pPr>
      <w:r w:rsidRPr="00AC114C">
        <w:t>2. временный отказ в приеме в образовательные и оздоровительные учреждения в случае возникновения массовых инфекционных заболеваний или при угрозе возникновения эпидемий;</w:t>
      </w:r>
    </w:p>
    <w:p w:rsidR="005D54EC" w:rsidRPr="00AC114C" w:rsidRDefault="005D54EC" w:rsidP="005D54EC">
      <w:pPr>
        <w:pStyle w:val="ConsPlusNormal"/>
        <w:ind w:left="240"/>
        <w:contextualSpacing/>
        <w:jc w:val="both"/>
      </w:pPr>
      <w:r w:rsidRPr="00AC114C">
        <w:t>3. отказ в приеме граждан на работы или отстранение граждан от работ, выполнение которых связано с высоким риском заболевания инфекционными болезнями (в частности, в образовательных организациях).</w:t>
      </w:r>
    </w:p>
    <w:p w:rsidR="005D54EC" w:rsidRPr="00AC114C" w:rsidRDefault="005D54EC" w:rsidP="005D54EC">
      <w:pPr>
        <w:pStyle w:val="ConsPlusNormal"/>
        <w:contextualSpacing/>
        <w:jc w:val="both"/>
      </w:pPr>
      <w:r w:rsidRPr="00AC114C">
        <w:tab/>
        <w:t xml:space="preserve">При этом следует учесть, что прививка против коронавирусной инфекции, вызываемой вирусом SARS-CoV-2, в настоящее время входит в календарь профилактических прививок по </w:t>
      </w:r>
      <w:r w:rsidRPr="00AC114C">
        <w:lastRenderedPageBreak/>
        <w:t xml:space="preserve">эпидемическим показаниям и проводится в установленном порядке. До вынесения постановления главного санитарного врача или его заместителя о проведении соответствующих профилактических прививок гражданам или отдельным группам граждан отказ от вакцинации против коронавирусной инфекции (в том числе работников образовательных организаций) не может служить основанием отстранения сотрудника от работы. </w:t>
      </w:r>
      <w:proofErr w:type="gramStart"/>
      <w:r w:rsidRPr="00AC114C">
        <w:t xml:space="preserve">После вынесения соответствующего постановления граждане могут отказаться от прививок, но в этом случае они должны быть отстранены от выполняемых работ на период </w:t>
      </w:r>
      <w:proofErr w:type="spellStart"/>
      <w:r w:rsidRPr="00AC114C">
        <w:t>эпиднеблагополучия</w:t>
      </w:r>
      <w:proofErr w:type="spellEnd"/>
      <w:r w:rsidRPr="00AC114C">
        <w:t>, если не имеют подтвержденных противопоказаний к вакцинации (</w:t>
      </w:r>
      <w:proofErr w:type="spellStart"/>
      <w:r w:rsidRPr="00AC114C">
        <w:t>пп</w:t>
      </w:r>
      <w:proofErr w:type="spellEnd"/>
      <w:r w:rsidRPr="00AC114C">
        <w:t>. 6 п. 1 ст. 51 Закона от 30.03.1999 N 52-ФЗ; Приложение N 2 к Приказу Минздрава России от 21.03.2014 N 125н;</w:t>
      </w:r>
      <w:proofErr w:type="gramEnd"/>
      <w:r w:rsidRPr="00AC114C">
        <w:t xml:space="preserve"> Приложение к Письму Минздрава России N 30-4</w:t>
      </w:r>
      <w:proofErr w:type="gramStart"/>
      <w:r w:rsidRPr="00AC114C">
        <w:t>/И</w:t>
      </w:r>
      <w:proofErr w:type="gramEnd"/>
      <w:r w:rsidRPr="00AC114C">
        <w:t xml:space="preserve">/2-17927; Разъяснения Минтруда России, </w:t>
      </w:r>
      <w:proofErr w:type="spellStart"/>
      <w:r w:rsidRPr="00AC114C">
        <w:t>Роспотребнадзора</w:t>
      </w:r>
      <w:proofErr w:type="spellEnd"/>
      <w:r w:rsidRPr="00AC114C">
        <w:t>; Письмо Минтруда России от 04.03.2021 N 14-2/10/В-2314).</w:t>
      </w:r>
    </w:p>
    <w:p w:rsidR="005D54EC" w:rsidRPr="00AC114C" w:rsidRDefault="005D54EC" w:rsidP="005D54EC">
      <w:pPr>
        <w:pStyle w:val="ConsPlusNormal"/>
        <w:contextualSpacing/>
        <w:jc w:val="both"/>
      </w:pPr>
      <w:r w:rsidRPr="00AC114C">
        <w:tab/>
        <w:t>При этом требования об обязательной вакцинации против COVID-19 не распространяются на лиц, имеющих противопоказания к такой вакцинации, которые подтверждены медицинским заключением (</w:t>
      </w:r>
      <w:proofErr w:type="spellStart"/>
      <w:r w:rsidRPr="00AC114C">
        <w:t>пп</w:t>
      </w:r>
      <w:proofErr w:type="spellEnd"/>
      <w:r w:rsidRPr="00AC114C">
        <w:t xml:space="preserve">. 1.1 п. 1, </w:t>
      </w:r>
      <w:proofErr w:type="spellStart"/>
      <w:r w:rsidRPr="00AC114C">
        <w:t>пп</w:t>
      </w:r>
      <w:proofErr w:type="spellEnd"/>
      <w:r w:rsidRPr="00AC114C">
        <w:t>. 2.1 п. 2, п. 3 Постановления Главного государственного санитарного врача по г. Москве от 19.10.2021 N 3; п. 2.12 разд. 2 Приложения к Письму Минздрава России N 30-4</w:t>
      </w:r>
      <w:proofErr w:type="gramStart"/>
      <w:r w:rsidRPr="00AC114C">
        <w:t>/И</w:t>
      </w:r>
      <w:proofErr w:type="gramEnd"/>
      <w:r w:rsidRPr="00AC114C">
        <w:t>/2-17927).</w:t>
      </w:r>
    </w:p>
    <w:p w:rsidR="005D54EC" w:rsidRPr="00AC114C" w:rsidRDefault="005D54EC" w:rsidP="005D54EC">
      <w:pPr>
        <w:pStyle w:val="ConsPlusNormal"/>
        <w:contextualSpacing/>
        <w:jc w:val="both"/>
      </w:pPr>
      <w:r w:rsidRPr="00AC114C">
        <w:tab/>
        <w:t>За отказ гражданина от вакцинации против COVID-19 ответственность, в том числе наложение штрафа, законодательством РФ не предусмотрена. В частности, отказ военнослужащего от проведения профилактических прививок в настоящее время не является основанием для привлечения его к дисциплинарной ответственности (Письмо Минобороны России от 15.03.2021 N 161/7/П-826).</w:t>
      </w:r>
    </w:p>
    <w:p w:rsidR="005D54EC" w:rsidRPr="00AC114C" w:rsidRDefault="005D54EC" w:rsidP="005D54EC">
      <w:pPr>
        <w:pStyle w:val="ConsPlusNormal"/>
        <w:contextualSpacing/>
        <w:jc w:val="both"/>
      </w:pPr>
      <w:r w:rsidRPr="00AC114C">
        <w:tab/>
        <w:t>Специальный порядок отказа от вакцинации против COVID-19 законодательством не установлен.</w:t>
      </w:r>
    </w:p>
    <w:p w:rsidR="005D54EC" w:rsidRPr="00AC114C" w:rsidRDefault="005D54EC" w:rsidP="005D54EC">
      <w:pPr>
        <w:pStyle w:val="ConsPlusNormal"/>
        <w:contextualSpacing/>
        <w:jc w:val="both"/>
      </w:pPr>
      <w:r w:rsidRPr="00AC114C">
        <w:tab/>
      </w:r>
      <w:proofErr w:type="gramStart"/>
      <w:r w:rsidRPr="00AC114C">
        <w:t>Следует учесть, что медицинская организация вправе обратиться в суд с административным исковым заявлением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(ч. 5 ст. 20 Закона N 323-ФЗ; п. 9 ч. 3 ст. 1, ч. 5 ст. 23, ч. 1 ст. 285.1 КАС РФ).</w:t>
      </w:r>
      <w:proofErr w:type="gramEnd"/>
    </w:p>
    <w:p w:rsidR="005D54EC" w:rsidRPr="00AC114C" w:rsidRDefault="005D54EC" w:rsidP="005D54EC">
      <w:pPr>
        <w:pStyle w:val="ConsPlusNormal"/>
        <w:contextualSpacing/>
        <w:jc w:val="both"/>
      </w:pPr>
      <w:r w:rsidRPr="00AC114C">
        <w:tab/>
      </w:r>
      <w:r w:rsidRPr="00AC114C">
        <w:rPr>
          <w:bCs/>
        </w:rPr>
        <w:t>Противопоказания для вакцинации</w:t>
      </w:r>
    </w:p>
    <w:p w:rsidR="005D54EC" w:rsidRPr="00AC114C" w:rsidRDefault="005D54EC" w:rsidP="005D54EC">
      <w:pPr>
        <w:pStyle w:val="ConsPlusNormal"/>
        <w:contextualSpacing/>
        <w:jc w:val="both"/>
      </w:pPr>
      <w:r w:rsidRPr="00AC114C">
        <w:tab/>
        <w:t>В список противопоказаний к вакцинации в общем случае включены следующие состояния (п. 3.1 МУ 3.3.1.1095-02, утв. Главным государственным санитарным врачом РФ 09.01.2002):</w:t>
      </w:r>
    </w:p>
    <w:p w:rsidR="005D54EC" w:rsidRPr="00AC114C" w:rsidRDefault="005D54EC" w:rsidP="005D54EC">
      <w:pPr>
        <w:pStyle w:val="ConsPlusNormal"/>
        <w:contextualSpacing/>
        <w:jc w:val="both"/>
      </w:pPr>
    </w:p>
    <w:tbl>
      <w:tblPr>
        <w:tblW w:w="0" w:type="auto"/>
        <w:tblLayout w:type="fixed"/>
        <w:tblCellMar>
          <w:top w:w="102" w:type="dxa"/>
          <w:left w:w="62" w:type="dxa"/>
          <w:bottom w:w="102" w:type="dxa"/>
          <w:right w:w="62" w:type="dxa"/>
        </w:tblCellMar>
        <w:tblLook w:val="0000"/>
      </w:tblPr>
      <w:tblGrid>
        <w:gridCol w:w="992"/>
        <w:gridCol w:w="3572"/>
        <w:gridCol w:w="4479"/>
      </w:tblGrid>
      <w:tr w:rsidR="005D54EC" w:rsidRPr="00AC114C" w:rsidTr="00984CFD">
        <w:tc>
          <w:tcPr>
            <w:tcW w:w="992" w:type="dxa"/>
            <w:tcBorders>
              <w:top w:val="single" w:sz="4" w:space="0" w:color="auto"/>
              <w:left w:val="single" w:sz="4" w:space="0" w:color="auto"/>
              <w:bottom w:val="single" w:sz="4" w:space="0" w:color="auto"/>
              <w:right w:val="single" w:sz="4" w:space="0" w:color="auto"/>
            </w:tcBorders>
            <w:vAlign w:val="center"/>
          </w:tcPr>
          <w:p w:rsidR="005D54EC" w:rsidRPr="00AC114C" w:rsidRDefault="005D54EC" w:rsidP="005D54EC">
            <w:pPr>
              <w:pStyle w:val="ConsPlusNormal"/>
              <w:contextualSpacing/>
              <w:jc w:val="center"/>
            </w:pPr>
            <w:r w:rsidRPr="00AC114C">
              <w:t>Пункт</w:t>
            </w:r>
          </w:p>
        </w:tc>
        <w:tc>
          <w:tcPr>
            <w:tcW w:w="3572" w:type="dxa"/>
            <w:tcBorders>
              <w:top w:val="single" w:sz="4" w:space="0" w:color="auto"/>
              <w:left w:val="single" w:sz="4" w:space="0" w:color="auto"/>
              <w:bottom w:val="single" w:sz="4" w:space="0" w:color="auto"/>
              <w:right w:val="single" w:sz="4" w:space="0" w:color="auto"/>
            </w:tcBorders>
            <w:vAlign w:val="center"/>
          </w:tcPr>
          <w:p w:rsidR="005D54EC" w:rsidRPr="00AC114C" w:rsidRDefault="005D54EC" w:rsidP="005D54EC">
            <w:pPr>
              <w:pStyle w:val="ConsPlusNormal"/>
              <w:contextualSpacing/>
              <w:jc w:val="center"/>
            </w:pPr>
            <w:r w:rsidRPr="00AC114C">
              <w:t>Вакцина</w:t>
            </w:r>
          </w:p>
        </w:tc>
        <w:tc>
          <w:tcPr>
            <w:tcW w:w="4479" w:type="dxa"/>
            <w:tcBorders>
              <w:top w:val="single" w:sz="4" w:space="0" w:color="auto"/>
              <w:left w:val="single" w:sz="4" w:space="0" w:color="auto"/>
              <w:bottom w:val="single" w:sz="4" w:space="0" w:color="auto"/>
              <w:right w:val="single" w:sz="4" w:space="0" w:color="auto"/>
            </w:tcBorders>
            <w:vAlign w:val="center"/>
          </w:tcPr>
          <w:p w:rsidR="005D54EC" w:rsidRPr="00AC114C" w:rsidRDefault="005D54EC" w:rsidP="005D54EC">
            <w:pPr>
              <w:pStyle w:val="ConsPlusNormal"/>
              <w:contextualSpacing/>
              <w:jc w:val="center"/>
            </w:pPr>
            <w:r w:rsidRPr="00AC114C">
              <w:t>Противопоказания</w:t>
            </w:r>
          </w:p>
        </w:tc>
      </w:tr>
      <w:tr w:rsidR="005D54EC" w:rsidRPr="00AC114C" w:rsidTr="00984CFD">
        <w:tc>
          <w:tcPr>
            <w:tcW w:w="992"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bookmarkStart w:id="1" w:name="Par40"/>
            <w:bookmarkEnd w:id="1"/>
            <w:r w:rsidRPr="00AC114C">
              <w:t>1</w:t>
            </w:r>
          </w:p>
        </w:tc>
        <w:tc>
          <w:tcPr>
            <w:tcW w:w="3572"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r w:rsidRPr="00AC114C">
              <w:t>Все вакцины</w:t>
            </w:r>
          </w:p>
        </w:tc>
        <w:tc>
          <w:tcPr>
            <w:tcW w:w="4479"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r w:rsidRPr="00AC114C">
              <w:t xml:space="preserve">Сильная реакция или </w:t>
            </w:r>
            <w:proofErr w:type="spellStart"/>
            <w:r w:rsidRPr="00AC114C">
              <w:t>поствакцинальное</w:t>
            </w:r>
            <w:proofErr w:type="spellEnd"/>
            <w:r w:rsidRPr="00AC114C">
              <w:t xml:space="preserve"> осложнение на предыдущее введение</w:t>
            </w:r>
          </w:p>
        </w:tc>
      </w:tr>
      <w:tr w:rsidR="005D54EC" w:rsidRPr="00AC114C" w:rsidTr="00984CFD">
        <w:tc>
          <w:tcPr>
            <w:tcW w:w="992"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bookmarkStart w:id="2" w:name="Par43"/>
            <w:bookmarkEnd w:id="2"/>
            <w:r w:rsidRPr="00AC114C">
              <w:t>2</w:t>
            </w:r>
          </w:p>
        </w:tc>
        <w:tc>
          <w:tcPr>
            <w:tcW w:w="3572"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r w:rsidRPr="00AC114C">
              <w:t>Все живые вакцины, в том числе оральная живая полиомиелитная вакцина (ОПВ)</w:t>
            </w:r>
          </w:p>
        </w:tc>
        <w:tc>
          <w:tcPr>
            <w:tcW w:w="4479" w:type="dxa"/>
            <w:vMerge w:val="restart"/>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proofErr w:type="spellStart"/>
            <w:r w:rsidRPr="00AC114C">
              <w:t>Иммунодефицитное</w:t>
            </w:r>
            <w:proofErr w:type="spellEnd"/>
            <w:r w:rsidRPr="00AC114C">
              <w:t xml:space="preserve"> состояние (первичное)</w:t>
            </w:r>
          </w:p>
          <w:p w:rsidR="005D54EC" w:rsidRPr="00AC114C" w:rsidRDefault="005D54EC" w:rsidP="005D54EC">
            <w:pPr>
              <w:pStyle w:val="ConsPlusNormal"/>
              <w:contextualSpacing/>
            </w:pPr>
            <w:proofErr w:type="spellStart"/>
            <w:r w:rsidRPr="00AC114C">
              <w:t>Иммуносупрессия</w:t>
            </w:r>
            <w:proofErr w:type="spellEnd"/>
            <w:r w:rsidRPr="00AC114C">
              <w:t>, злокачественные новообразования</w:t>
            </w:r>
          </w:p>
          <w:p w:rsidR="005D54EC" w:rsidRPr="00AC114C" w:rsidRDefault="005D54EC" w:rsidP="005D54EC">
            <w:pPr>
              <w:pStyle w:val="ConsPlusNormal"/>
              <w:contextualSpacing/>
            </w:pPr>
            <w:r w:rsidRPr="00AC114C">
              <w:t>Беременность</w:t>
            </w:r>
          </w:p>
          <w:p w:rsidR="005D54EC" w:rsidRPr="00AC114C" w:rsidRDefault="005D54EC" w:rsidP="005D54EC">
            <w:pPr>
              <w:pStyle w:val="ConsPlusNormal"/>
              <w:contextualSpacing/>
            </w:pPr>
            <w:r w:rsidRPr="00AC114C">
              <w:t>Вес ребенка при рождении менее 2000 г</w:t>
            </w:r>
          </w:p>
          <w:p w:rsidR="005D54EC" w:rsidRPr="00AC114C" w:rsidRDefault="005D54EC" w:rsidP="005D54EC">
            <w:pPr>
              <w:pStyle w:val="ConsPlusNormal"/>
              <w:contextualSpacing/>
            </w:pPr>
            <w:r w:rsidRPr="00AC114C">
              <w:t>Келоидный рубец, в том числе после предыдущей дозы</w:t>
            </w:r>
          </w:p>
          <w:p w:rsidR="005D54EC" w:rsidRPr="00AC114C" w:rsidRDefault="005D54EC" w:rsidP="005D54EC">
            <w:pPr>
              <w:pStyle w:val="ConsPlusNormal"/>
              <w:contextualSpacing/>
            </w:pPr>
            <w:r w:rsidRPr="00AC114C">
              <w:t xml:space="preserve">Прогрессирующие заболевания нервной системы, </w:t>
            </w:r>
            <w:proofErr w:type="spellStart"/>
            <w:r w:rsidRPr="00AC114C">
              <w:t>афебрильные</w:t>
            </w:r>
            <w:proofErr w:type="spellEnd"/>
            <w:r w:rsidRPr="00AC114C">
              <w:t xml:space="preserve"> судороги в анамнезе</w:t>
            </w:r>
          </w:p>
        </w:tc>
      </w:tr>
      <w:tr w:rsidR="005D54EC" w:rsidRPr="00AC114C" w:rsidTr="00984CFD">
        <w:tc>
          <w:tcPr>
            <w:tcW w:w="992"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r w:rsidRPr="00AC114C">
              <w:t>3</w:t>
            </w:r>
          </w:p>
        </w:tc>
        <w:tc>
          <w:tcPr>
            <w:tcW w:w="3572"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r w:rsidRPr="00AC114C">
              <w:t>БЦЖ</w:t>
            </w:r>
          </w:p>
        </w:tc>
        <w:tc>
          <w:tcPr>
            <w:tcW w:w="4479" w:type="dxa"/>
            <w:vMerge/>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p>
        </w:tc>
      </w:tr>
      <w:tr w:rsidR="005D54EC" w:rsidRPr="00AC114C" w:rsidTr="00984CFD">
        <w:tc>
          <w:tcPr>
            <w:tcW w:w="992"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r w:rsidRPr="00AC114C">
              <w:t>4</w:t>
            </w:r>
          </w:p>
        </w:tc>
        <w:tc>
          <w:tcPr>
            <w:tcW w:w="3572"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r w:rsidRPr="00AC114C">
              <w:t>АКДС</w:t>
            </w:r>
          </w:p>
        </w:tc>
        <w:tc>
          <w:tcPr>
            <w:tcW w:w="4479" w:type="dxa"/>
            <w:vMerge/>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p>
        </w:tc>
      </w:tr>
      <w:tr w:rsidR="005D54EC" w:rsidRPr="00AC114C" w:rsidTr="00984CFD">
        <w:tc>
          <w:tcPr>
            <w:tcW w:w="992"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r w:rsidRPr="00AC114C">
              <w:t>5</w:t>
            </w:r>
          </w:p>
        </w:tc>
        <w:tc>
          <w:tcPr>
            <w:tcW w:w="3572"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r w:rsidRPr="00AC114C">
              <w:t xml:space="preserve">Живая коревая вакцина (ЖКВ), </w:t>
            </w:r>
            <w:r w:rsidRPr="00AC114C">
              <w:lastRenderedPageBreak/>
              <w:t xml:space="preserve">живая </w:t>
            </w:r>
            <w:proofErr w:type="spellStart"/>
            <w:r w:rsidRPr="00AC114C">
              <w:t>паротитная</w:t>
            </w:r>
            <w:proofErr w:type="spellEnd"/>
            <w:r w:rsidRPr="00AC114C">
              <w:t xml:space="preserve"> вакцина (ЖПВ), краснушная, а также комбинированные </w:t>
            </w:r>
            <w:proofErr w:type="spellStart"/>
            <w:r w:rsidRPr="00AC114C">
              <w:t>ди</w:t>
            </w:r>
            <w:proofErr w:type="spellEnd"/>
            <w:r w:rsidRPr="00AC114C">
              <w:t>- и тривакцины (корь - паротит, корь - краснуха - паротит)</w:t>
            </w:r>
          </w:p>
        </w:tc>
        <w:tc>
          <w:tcPr>
            <w:tcW w:w="4479"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r w:rsidRPr="00AC114C">
              <w:lastRenderedPageBreak/>
              <w:t xml:space="preserve">Тяжелые формы аллергических реакций </w:t>
            </w:r>
            <w:r w:rsidRPr="00AC114C">
              <w:lastRenderedPageBreak/>
              <w:t xml:space="preserve">на </w:t>
            </w:r>
            <w:proofErr w:type="spellStart"/>
            <w:r w:rsidRPr="00AC114C">
              <w:t>аминогликозиды</w:t>
            </w:r>
            <w:proofErr w:type="spellEnd"/>
          </w:p>
          <w:p w:rsidR="005D54EC" w:rsidRPr="00AC114C" w:rsidRDefault="005D54EC" w:rsidP="005D54EC">
            <w:pPr>
              <w:pStyle w:val="ConsPlusNormal"/>
              <w:contextualSpacing/>
            </w:pPr>
            <w:r w:rsidRPr="00AC114C">
              <w:t>Анафилактические реакции на яичный белок (кроме краснушной вакцины)</w:t>
            </w:r>
          </w:p>
        </w:tc>
      </w:tr>
      <w:tr w:rsidR="005D54EC" w:rsidRPr="00AC114C" w:rsidTr="00984CFD">
        <w:tc>
          <w:tcPr>
            <w:tcW w:w="992"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r w:rsidRPr="00AC114C">
              <w:lastRenderedPageBreak/>
              <w:t>6</w:t>
            </w:r>
          </w:p>
        </w:tc>
        <w:tc>
          <w:tcPr>
            <w:tcW w:w="3572"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r w:rsidRPr="00AC114C">
              <w:t>Вакцина против вирусного гепатита</w:t>
            </w:r>
            <w:proofErr w:type="gramStart"/>
            <w:r w:rsidRPr="00AC114C">
              <w:t xml:space="preserve"> В</w:t>
            </w:r>
            <w:proofErr w:type="gramEnd"/>
          </w:p>
        </w:tc>
        <w:tc>
          <w:tcPr>
            <w:tcW w:w="4479"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r w:rsidRPr="00AC114C">
              <w:t>Аллергическая реакция на пекарские дрожжи</w:t>
            </w:r>
          </w:p>
        </w:tc>
      </w:tr>
      <w:tr w:rsidR="005D54EC" w:rsidRPr="00AC114C" w:rsidTr="00984CFD">
        <w:tc>
          <w:tcPr>
            <w:tcW w:w="992"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r w:rsidRPr="00AC114C">
              <w:t>7</w:t>
            </w:r>
          </w:p>
        </w:tc>
        <w:tc>
          <w:tcPr>
            <w:tcW w:w="3572"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r w:rsidRPr="00AC114C">
              <w:t>Вакцины АДС, АДС-М, АД-М</w:t>
            </w:r>
          </w:p>
        </w:tc>
        <w:tc>
          <w:tcPr>
            <w:tcW w:w="4479" w:type="dxa"/>
            <w:tcBorders>
              <w:top w:val="single" w:sz="4" w:space="0" w:color="auto"/>
              <w:left w:val="single" w:sz="4" w:space="0" w:color="auto"/>
              <w:bottom w:val="single" w:sz="4" w:space="0" w:color="auto"/>
              <w:right w:val="single" w:sz="4" w:space="0" w:color="auto"/>
            </w:tcBorders>
          </w:tcPr>
          <w:p w:rsidR="005D54EC" w:rsidRPr="00AC114C" w:rsidRDefault="005D54EC" w:rsidP="005D54EC">
            <w:pPr>
              <w:pStyle w:val="ConsPlusNormal"/>
              <w:contextualSpacing/>
            </w:pPr>
            <w:r w:rsidRPr="00AC114C">
              <w:t xml:space="preserve">Постоянных противопоказаний, </w:t>
            </w:r>
            <w:proofErr w:type="gramStart"/>
            <w:r w:rsidRPr="00AC114C">
              <w:t>кроме</w:t>
            </w:r>
            <w:proofErr w:type="gramEnd"/>
            <w:r w:rsidRPr="00AC114C">
              <w:t xml:space="preserve"> упомянутых в </w:t>
            </w:r>
            <w:hyperlink w:anchor="Par40" w:tooltip="1" w:history="1">
              <w:r w:rsidRPr="00AC114C">
                <w:rPr>
                  <w:color w:val="0000FF"/>
                </w:rPr>
                <w:t>п. п. 1</w:t>
              </w:r>
            </w:hyperlink>
            <w:r w:rsidRPr="00AC114C">
              <w:t xml:space="preserve"> и </w:t>
            </w:r>
            <w:hyperlink w:anchor="Par43" w:tooltip="2" w:history="1">
              <w:r w:rsidRPr="00AC114C">
                <w:rPr>
                  <w:color w:val="0000FF"/>
                </w:rPr>
                <w:t>2</w:t>
              </w:r>
            </w:hyperlink>
            <w:r w:rsidRPr="00AC114C">
              <w:t>, не имеют</w:t>
            </w:r>
          </w:p>
        </w:tc>
      </w:tr>
    </w:tbl>
    <w:p w:rsidR="005D54EC" w:rsidRPr="00AC114C" w:rsidRDefault="005D54EC" w:rsidP="005D54EC">
      <w:pPr>
        <w:pStyle w:val="ConsPlusNormal"/>
        <w:contextualSpacing/>
        <w:jc w:val="both"/>
      </w:pPr>
    </w:p>
    <w:p w:rsidR="005D54EC" w:rsidRPr="00AC114C" w:rsidRDefault="005D54EC" w:rsidP="005D54EC">
      <w:pPr>
        <w:pStyle w:val="ConsPlusNormal"/>
        <w:contextualSpacing/>
        <w:jc w:val="both"/>
      </w:pPr>
      <w:r w:rsidRPr="00AC114C">
        <w:tab/>
        <w:t>Острые инфекционные и неинфекционные заболевания, обострение хронических заболеваний являются временными противопоказаниями для проведения прививок. Плановые прививки проводятся через две - четыре недели после выздоровления, или в период реконвалесценции или в период ремиссии. При нетяжелых ОРВИ, острых кишечных заболеваниях и других заболеваниях прививки проводятся сразу после нормализации температуры (таблица N 1 МУ 3.3.1.1095-02).</w:t>
      </w:r>
    </w:p>
    <w:p w:rsidR="005D54EC" w:rsidRPr="00AC114C" w:rsidRDefault="005D54EC" w:rsidP="005D54EC">
      <w:pPr>
        <w:pStyle w:val="ConsPlusNormal"/>
        <w:contextualSpacing/>
        <w:jc w:val="both"/>
      </w:pPr>
      <w:r w:rsidRPr="00AC114C">
        <w:tab/>
        <w:t>Наличие противопоказания не означает, что в случае проведения прививки у вакцинированного обязательно возникнет осложнение, речь идет лишь о повышении риска неблагоприятной реакции, что, однако, должно рассматриваться как препятствие к проведению вакцинации в большинстве случаев (п. 3.2 МУ 3.3.1.1095-02).</w:t>
      </w:r>
    </w:p>
    <w:p w:rsidR="005D54EC" w:rsidRPr="00AC114C" w:rsidRDefault="005D54EC" w:rsidP="005D54EC">
      <w:pPr>
        <w:pStyle w:val="ConsPlusNormal"/>
        <w:contextualSpacing/>
        <w:jc w:val="both"/>
      </w:pPr>
      <w:r w:rsidRPr="00AC114C">
        <w:t>Противопоказаниями к вакцинированию против COVID-19 вакцинами "</w:t>
      </w:r>
      <w:proofErr w:type="spellStart"/>
      <w:r w:rsidRPr="00AC114C">
        <w:t>Гам-КОВИД-Вак</w:t>
      </w:r>
      <w:proofErr w:type="spellEnd"/>
      <w:r w:rsidRPr="00AC114C">
        <w:t>", "</w:t>
      </w:r>
      <w:proofErr w:type="spellStart"/>
      <w:r w:rsidRPr="00AC114C">
        <w:t>Гам-КОВИД-Вак-Лио</w:t>
      </w:r>
      <w:proofErr w:type="spellEnd"/>
      <w:r w:rsidRPr="00AC114C">
        <w:t>", "</w:t>
      </w:r>
      <w:proofErr w:type="spellStart"/>
      <w:r w:rsidRPr="00AC114C">
        <w:t>ЭпиВакКорона</w:t>
      </w:r>
      <w:proofErr w:type="spellEnd"/>
      <w:r w:rsidRPr="00AC114C">
        <w:t>", "</w:t>
      </w:r>
      <w:proofErr w:type="spellStart"/>
      <w:r w:rsidRPr="00AC114C">
        <w:t>ЭпиВакКорона-Н</w:t>
      </w:r>
      <w:proofErr w:type="spellEnd"/>
      <w:r w:rsidRPr="00AC114C">
        <w:t>", "</w:t>
      </w:r>
      <w:proofErr w:type="spellStart"/>
      <w:r w:rsidRPr="00AC114C">
        <w:t>КовиВак</w:t>
      </w:r>
      <w:proofErr w:type="spellEnd"/>
      <w:r w:rsidRPr="00AC114C">
        <w:t xml:space="preserve">" и "Спутник </w:t>
      </w:r>
      <w:proofErr w:type="spellStart"/>
      <w:r w:rsidRPr="00AC114C">
        <w:t>Лайт</w:t>
      </w:r>
      <w:proofErr w:type="spellEnd"/>
      <w:r w:rsidRPr="00AC114C">
        <w:t>" являются, в частности (п. п. 3.4, 3.5, 3.22, 3.23, 3.26, 3.35 разд. 3, п. 8.5 разд. 8 Приложения к Письму Минздрава России N 30-4</w:t>
      </w:r>
      <w:proofErr w:type="gramStart"/>
      <w:r w:rsidRPr="00AC114C">
        <w:t>/И</w:t>
      </w:r>
      <w:proofErr w:type="gramEnd"/>
      <w:r w:rsidRPr="00AC114C">
        <w:t>/2-17927):</w:t>
      </w:r>
    </w:p>
    <w:p w:rsidR="005D54EC" w:rsidRPr="00AC114C" w:rsidRDefault="005D54EC" w:rsidP="005D54EC">
      <w:pPr>
        <w:pStyle w:val="ConsPlusNormal"/>
        <w:ind w:left="313"/>
        <w:contextualSpacing/>
        <w:jc w:val="both"/>
      </w:pPr>
      <w:r w:rsidRPr="00AC114C">
        <w:t>1) тяжелые формы аллергии;</w:t>
      </w:r>
    </w:p>
    <w:p w:rsidR="005D54EC" w:rsidRPr="00AC114C" w:rsidRDefault="005D54EC" w:rsidP="005D54EC">
      <w:pPr>
        <w:pStyle w:val="ConsPlusNormal"/>
        <w:ind w:left="313"/>
        <w:contextualSpacing/>
        <w:jc w:val="both"/>
      </w:pPr>
      <w:r w:rsidRPr="00AC114C">
        <w:t>2) острые инфекционные и неинфекционные заболевания, хронические заболевания в стадии обострения;</w:t>
      </w:r>
    </w:p>
    <w:p w:rsidR="005D54EC" w:rsidRPr="00AC114C" w:rsidRDefault="005D54EC" w:rsidP="005D54EC">
      <w:pPr>
        <w:pStyle w:val="ConsPlusNormal"/>
        <w:ind w:left="313"/>
        <w:contextualSpacing/>
        <w:jc w:val="both"/>
      </w:pPr>
      <w:r w:rsidRPr="00AC114C">
        <w:t>3) возраст до 18 лет;</w:t>
      </w:r>
    </w:p>
    <w:p w:rsidR="005D54EC" w:rsidRPr="00AC114C" w:rsidRDefault="005D54EC" w:rsidP="005D54EC">
      <w:pPr>
        <w:pStyle w:val="ConsPlusNormal"/>
        <w:ind w:left="313"/>
        <w:contextualSpacing/>
        <w:jc w:val="both"/>
      </w:pPr>
      <w:r w:rsidRPr="00AC114C">
        <w:t xml:space="preserve">4) </w:t>
      </w:r>
      <w:proofErr w:type="spellStart"/>
      <w:r w:rsidRPr="00AC114C">
        <w:t>поствакцинальное</w:t>
      </w:r>
      <w:proofErr w:type="spellEnd"/>
      <w:r w:rsidRPr="00AC114C">
        <w:t xml:space="preserve"> осложнение на предыдущее введение вакцины (для двухкомпонентных вакцин).</w:t>
      </w:r>
    </w:p>
    <w:p w:rsidR="005D54EC" w:rsidRPr="00AC114C" w:rsidRDefault="005D54EC" w:rsidP="005D54EC">
      <w:pPr>
        <w:pStyle w:val="ConsPlusNormal"/>
        <w:contextualSpacing/>
        <w:jc w:val="both"/>
      </w:pPr>
      <w:r w:rsidRPr="00AC114C">
        <w:tab/>
        <w:t>Также противопоказаниями к применению, например, вакцин "</w:t>
      </w:r>
      <w:proofErr w:type="spellStart"/>
      <w:r w:rsidRPr="00AC114C">
        <w:t>КовиВак</w:t>
      </w:r>
      <w:proofErr w:type="spellEnd"/>
      <w:r w:rsidRPr="00AC114C">
        <w:t>", "</w:t>
      </w:r>
      <w:proofErr w:type="spellStart"/>
      <w:r w:rsidRPr="00AC114C">
        <w:t>ЭпиВакКорона-Н</w:t>
      </w:r>
      <w:proofErr w:type="spellEnd"/>
      <w:r w:rsidRPr="00AC114C">
        <w:t>" и "</w:t>
      </w:r>
      <w:proofErr w:type="spellStart"/>
      <w:r w:rsidRPr="00AC114C">
        <w:t>Гам-КОВИД-Вак-Лио</w:t>
      </w:r>
      <w:proofErr w:type="spellEnd"/>
      <w:r w:rsidRPr="00AC114C">
        <w:t>" являются возраст после 60 лет, беременность и период грудного вскармливания (п. п. 3.4, 3.22, 3.26 Приложения к Письму Минздрава России N 30-4</w:t>
      </w:r>
      <w:proofErr w:type="gramStart"/>
      <w:r w:rsidRPr="00AC114C">
        <w:t>/И</w:t>
      </w:r>
      <w:proofErr w:type="gramEnd"/>
      <w:r w:rsidRPr="00AC114C">
        <w:t>/2-17927).</w:t>
      </w:r>
    </w:p>
    <w:p w:rsidR="005D54EC" w:rsidRPr="00AC114C" w:rsidRDefault="005D54EC" w:rsidP="005D54EC">
      <w:pPr>
        <w:pStyle w:val="ConsPlusNormal"/>
        <w:contextualSpacing/>
        <w:jc w:val="both"/>
      </w:pPr>
    </w:p>
    <w:p w:rsidR="005D54EC" w:rsidRPr="00AC114C" w:rsidRDefault="005D54EC" w:rsidP="005D54EC">
      <w:pPr>
        <w:pStyle w:val="ConsPlusNormal"/>
        <w:contextualSpacing/>
        <w:jc w:val="both"/>
      </w:pPr>
      <w:r w:rsidRPr="00AC114C">
        <w:tab/>
      </w:r>
      <w:r w:rsidRPr="00AC114C">
        <w:tab/>
      </w:r>
      <w:r w:rsidRPr="00AC114C">
        <w:tab/>
      </w:r>
      <w:r w:rsidRPr="00AC114C">
        <w:tab/>
      </w:r>
      <w:r w:rsidRPr="00AC114C">
        <w:tab/>
      </w:r>
      <w:r w:rsidRPr="00AC114C">
        <w:tab/>
        <w:t>Помощник прокурора Тимошенко Т.Е.</w:t>
      </w:r>
    </w:p>
    <w:p w:rsidR="005D54EC" w:rsidRPr="00AC114C" w:rsidRDefault="005D54EC" w:rsidP="005D54EC">
      <w:pPr>
        <w:pStyle w:val="ConsPlusNormal"/>
        <w:contextualSpacing/>
        <w:jc w:val="both"/>
      </w:pPr>
    </w:p>
    <w:p w:rsidR="005D54EC" w:rsidRDefault="005D54EC" w:rsidP="005D54EC">
      <w:pPr>
        <w:pStyle w:val="ConsPlusNormal"/>
        <w:contextualSpacing/>
        <w:jc w:val="both"/>
      </w:pPr>
    </w:p>
    <w:p w:rsidR="00AC114C" w:rsidRDefault="00AC114C" w:rsidP="005D54EC">
      <w:pPr>
        <w:pStyle w:val="ConsPlusNormal"/>
        <w:contextualSpacing/>
        <w:jc w:val="both"/>
      </w:pPr>
    </w:p>
    <w:p w:rsidR="00AC114C" w:rsidRDefault="00AC114C" w:rsidP="005D54EC">
      <w:pPr>
        <w:pStyle w:val="ConsPlusNormal"/>
        <w:contextualSpacing/>
        <w:jc w:val="both"/>
      </w:pPr>
    </w:p>
    <w:p w:rsidR="00AC114C" w:rsidRDefault="00AC114C" w:rsidP="005D54EC">
      <w:pPr>
        <w:pStyle w:val="ConsPlusNormal"/>
        <w:contextualSpacing/>
        <w:jc w:val="both"/>
      </w:pPr>
    </w:p>
    <w:p w:rsidR="00AC114C" w:rsidRPr="00AC114C" w:rsidRDefault="00AC114C" w:rsidP="005D54EC">
      <w:pPr>
        <w:pStyle w:val="ConsPlusNormal"/>
        <w:contextualSpacing/>
        <w:jc w:val="both"/>
      </w:pPr>
    </w:p>
    <w:p w:rsidR="00F57B55" w:rsidRPr="00AC114C" w:rsidRDefault="00F57B55" w:rsidP="00F57B55">
      <w:pPr>
        <w:spacing w:after="0" w:line="240" w:lineRule="auto"/>
        <w:rPr>
          <w:rFonts w:ascii="Times New Roman" w:hAnsi="Times New Roman"/>
          <w:b/>
          <w:sz w:val="24"/>
          <w:szCs w:val="24"/>
        </w:rPr>
      </w:pPr>
      <w:r w:rsidRPr="00AC114C">
        <w:rPr>
          <w:rFonts w:ascii="Times New Roman" w:hAnsi="Times New Roman"/>
          <w:b/>
          <w:sz w:val="24"/>
          <w:szCs w:val="24"/>
        </w:rPr>
        <w:t xml:space="preserve">Редактор:                                                                                                          </w:t>
      </w:r>
    </w:p>
    <w:p w:rsidR="00F57B55" w:rsidRPr="00AC114C" w:rsidRDefault="00F57B55" w:rsidP="00F57B55">
      <w:pPr>
        <w:spacing w:after="0" w:line="240" w:lineRule="auto"/>
        <w:rPr>
          <w:rFonts w:ascii="Times New Roman" w:hAnsi="Times New Roman"/>
          <w:sz w:val="24"/>
          <w:szCs w:val="24"/>
        </w:rPr>
      </w:pPr>
      <w:r w:rsidRPr="00AC114C">
        <w:rPr>
          <w:rFonts w:ascii="Times New Roman" w:hAnsi="Times New Roman"/>
          <w:sz w:val="24"/>
          <w:szCs w:val="24"/>
        </w:rPr>
        <w:t>Администрация Суздальского сельсовета Доволенского района Новосибирской области</w:t>
      </w:r>
    </w:p>
    <w:p w:rsidR="00F57B55" w:rsidRPr="00AC114C" w:rsidRDefault="00F57B55" w:rsidP="00F57B55">
      <w:pPr>
        <w:spacing w:after="0" w:line="240" w:lineRule="auto"/>
        <w:rPr>
          <w:rFonts w:ascii="Times New Roman" w:hAnsi="Times New Roman"/>
          <w:sz w:val="24"/>
          <w:szCs w:val="24"/>
        </w:rPr>
      </w:pPr>
      <w:r w:rsidRPr="00AC114C">
        <w:rPr>
          <w:rFonts w:ascii="Times New Roman" w:hAnsi="Times New Roman"/>
          <w:sz w:val="24"/>
          <w:szCs w:val="24"/>
        </w:rPr>
        <w:t>Адрес: 632457, Новосибирская область, Доволенский район, село Суздалка, ул. Школьная, 11в.</w:t>
      </w:r>
    </w:p>
    <w:p w:rsidR="00F57B55" w:rsidRPr="00AC114C" w:rsidRDefault="00F57B55" w:rsidP="00F57B55">
      <w:pPr>
        <w:spacing w:after="0" w:line="240" w:lineRule="auto"/>
        <w:rPr>
          <w:rFonts w:ascii="Times New Roman" w:hAnsi="Times New Roman"/>
          <w:b/>
          <w:sz w:val="24"/>
          <w:szCs w:val="24"/>
        </w:rPr>
      </w:pPr>
    </w:p>
    <w:p w:rsidR="00F57B55" w:rsidRPr="00AC114C" w:rsidRDefault="00F57B55" w:rsidP="00F57B55">
      <w:pPr>
        <w:spacing w:after="0" w:line="240" w:lineRule="auto"/>
        <w:rPr>
          <w:rFonts w:ascii="Times New Roman" w:hAnsi="Times New Roman"/>
          <w:b/>
          <w:sz w:val="24"/>
          <w:szCs w:val="24"/>
        </w:rPr>
      </w:pPr>
      <w:r w:rsidRPr="00AC114C">
        <w:rPr>
          <w:rFonts w:ascii="Times New Roman" w:hAnsi="Times New Roman"/>
          <w:b/>
          <w:sz w:val="24"/>
          <w:szCs w:val="24"/>
        </w:rPr>
        <w:t xml:space="preserve">Соучредители:                                                                                                </w:t>
      </w:r>
    </w:p>
    <w:p w:rsidR="00F57B55" w:rsidRPr="00AC114C" w:rsidRDefault="00F57B55" w:rsidP="00F57B55">
      <w:pPr>
        <w:spacing w:after="0" w:line="240" w:lineRule="auto"/>
        <w:rPr>
          <w:rFonts w:ascii="Times New Roman" w:hAnsi="Times New Roman"/>
          <w:sz w:val="24"/>
          <w:szCs w:val="24"/>
        </w:rPr>
      </w:pPr>
      <w:r w:rsidRPr="00AC114C">
        <w:rPr>
          <w:rFonts w:ascii="Times New Roman" w:hAnsi="Times New Roman"/>
          <w:sz w:val="24"/>
          <w:szCs w:val="24"/>
        </w:rPr>
        <w:t>Совет депутатов Суздальского сельсовета Доволенского района Новосибирской области;</w:t>
      </w:r>
    </w:p>
    <w:p w:rsidR="005D54EC" w:rsidRPr="00AC114C" w:rsidRDefault="00F57B55" w:rsidP="00AC114C">
      <w:pPr>
        <w:spacing w:after="0" w:line="240" w:lineRule="auto"/>
        <w:rPr>
          <w:rFonts w:ascii="Times New Roman" w:hAnsi="Times New Roman"/>
          <w:sz w:val="24"/>
          <w:szCs w:val="24"/>
        </w:rPr>
      </w:pPr>
      <w:r w:rsidRPr="00AC114C">
        <w:rPr>
          <w:rFonts w:ascii="Times New Roman" w:hAnsi="Times New Roman"/>
          <w:sz w:val="24"/>
          <w:szCs w:val="24"/>
        </w:rPr>
        <w:t>Администрация Суздальского сельсовета Доволенского района Новосибирской области.</w:t>
      </w: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spacing w:after="0" w:line="240" w:lineRule="auto"/>
        <w:contextualSpacing/>
        <w:jc w:val="both"/>
        <w:rPr>
          <w:rFonts w:ascii="Times New Roman" w:hAnsi="Times New Roman"/>
          <w:sz w:val="28"/>
          <w:szCs w:val="28"/>
        </w:rPr>
      </w:pPr>
    </w:p>
    <w:sectPr w:rsidR="005D54EC" w:rsidRPr="005D54EC" w:rsidSect="004704F5">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075E1F"/>
    <w:rsid w:val="000B2154"/>
    <w:rsid w:val="001B30D0"/>
    <w:rsid w:val="001F6056"/>
    <w:rsid w:val="0023059F"/>
    <w:rsid w:val="00243E3A"/>
    <w:rsid w:val="00292227"/>
    <w:rsid w:val="002966B9"/>
    <w:rsid w:val="00364FBD"/>
    <w:rsid w:val="003661B6"/>
    <w:rsid w:val="003B6755"/>
    <w:rsid w:val="00410E97"/>
    <w:rsid w:val="00415BC8"/>
    <w:rsid w:val="00416F95"/>
    <w:rsid w:val="004653B7"/>
    <w:rsid w:val="004704F5"/>
    <w:rsid w:val="00514B22"/>
    <w:rsid w:val="005A42D2"/>
    <w:rsid w:val="005D54EC"/>
    <w:rsid w:val="005F3D4C"/>
    <w:rsid w:val="006E2098"/>
    <w:rsid w:val="0070303A"/>
    <w:rsid w:val="00882245"/>
    <w:rsid w:val="009B681C"/>
    <w:rsid w:val="00A900FD"/>
    <w:rsid w:val="00AC114C"/>
    <w:rsid w:val="00B11B0B"/>
    <w:rsid w:val="00BF3AF4"/>
    <w:rsid w:val="00C32B2D"/>
    <w:rsid w:val="00C629A9"/>
    <w:rsid w:val="00CD5A99"/>
    <w:rsid w:val="00D11CD8"/>
    <w:rsid w:val="00D2672F"/>
    <w:rsid w:val="00D87501"/>
    <w:rsid w:val="00E568C7"/>
    <w:rsid w:val="00E70895"/>
    <w:rsid w:val="00ED28EA"/>
    <w:rsid w:val="00F57B55"/>
    <w:rsid w:val="00F620AE"/>
    <w:rsid w:val="00F767B1"/>
    <w:rsid w:val="00FB2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4EC"/>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51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6934</Words>
  <Characters>39525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cp:lastPrinted>2022-09-21T05:41:00Z</cp:lastPrinted>
  <dcterms:created xsi:type="dcterms:W3CDTF">2022-09-21T05:41:00Z</dcterms:created>
  <dcterms:modified xsi:type="dcterms:W3CDTF">2022-09-21T05:41:00Z</dcterms:modified>
</cp:coreProperties>
</file>