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EC" w:rsidRPr="005D54EC" w:rsidRDefault="005D54EC" w:rsidP="00514B22">
      <w:pPr>
        <w:widowControl w:val="0"/>
        <w:autoSpaceDE w:val="0"/>
        <w:autoSpaceDN w:val="0"/>
        <w:spacing w:after="0" w:line="240" w:lineRule="auto"/>
        <w:contextualSpacing/>
        <w:jc w:val="center"/>
        <w:rPr>
          <w:rFonts w:ascii="Times New Roman" w:hAnsi="Times New Roman"/>
          <w:sz w:val="28"/>
          <w:szCs w:val="28"/>
          <w:lang w:eastAsia="ru-RU"/>
        </w:rPr>
      </w:pPr>
      <w:r w:rsidRPr="005D54EC">
        <w:rPr>
          <w:rFonts w:ascii="Times New Roman" w:hAnsi="Times New Roman"/>
          <w:sz w:val="28"/>
          <w:szCs w:val="28"/>
          <w:lang w:eastAsia="ru-RU"/>
        </w:rPr>
        <w:t>Порядок расчета неустойки за просрочку уплаты алиментов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Неустойка по алиментам, взыскиваемым по решению суда, составляет 0,1% от суммы задолженности за каждый день просрочки. Если алименты уплачиваются на основании соглашения об их уплате, порядок расчета неустойки определяется таким соглашением.</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Ответственность за несвоевременную уплату алиментов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1/10 процента от суммы невыплаченных алиментов за каждый день просрочки. Кроме того, получатель алиментов вправе также взыскать с виновного должника все причиненные просрочкой исполнения алиментных обязательств убытки в части, не покрытой неустойкой (ст. 115 СК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Если задолженность по алиментам, уплачиваемым по решению суда, образовалась не по вине плательщика алиментов (например, в связи с несвоевременной выплатой заработной платы, задержкой или неправильным перечислением алиментных сумм банками и т.п.), то ответственность за их неуплату на него не возлагается (п. 63 Постановления Пленума Верховного Суда РФ от 26.12.2017 N 56;</w:t>
      </w:r>
      <w:proofErr w:type="gramEnd"/>
      <w:r w:rsidRPr="005D54EC">
        <w:rPr>
          <w:rFonts w:ascii="Times New Roman" w:hAnsi="Times New Roman"/>
          <w:sz w:val="28"/>
          <w:szCs w:val="28"/>
          <w:lang w:eastAsia="ru-RU"/>
        </w:rPr>
        <w:t xml:space="preserve"> разд. X Обзора, утв. Президиумом Верховного Суда РФ 13.05.2015).</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Также суд может по иску плательщика алиментов освободить его полностью или частично от уплаты задолженности по алиментам и по уплате неустойки за несвоевременную уплату алиментов, если установит, что неуплата алиментов имела место в связи с его болезнью или по другим уважительным причинам и его материальное и семейное положение не дает возможности погасить образовавшуюся задолженность (п. 2 ст. 114 СК РФ).</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Порядок расчета неустойки по алиментам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Алименты, взыскиваемые по решению суда, должны уплачиваться ежемесячно. Следовательно, неустойку за их неуплату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 При этом, если алименты не индексировались, следует исходить из того размера алиментов, в котором должник должен был уплачивать алименты с учетом индексации.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Неустойка нередко исчисляется путем умножения общей суммы алиментной задолженности на установленный размер неустойки и на общее количество дней просрочки. В этом случае сумма неустойки, как правило, превышает сумму долга по алиментам, на которую начисляется неустойка. Однако производить </w:t>
      </w:r>
      <w:proofErr w:type="gramStart"/>
      <w:r w:rsidRPr="005D54EC">
        <w:rPr>
          <w:rFonts w:ascii="Times New Roman" w:hAnsi="Times New Roman"/>
          <w:sz w:val="28"/>
          <w:szCs w:val="28"/>
          <w:lang w:eastAsia="ru-RU"/>
        </w:rPr>
        <w:t>расчет</w:t>
      </w:r>
      <w:proofErr w:type="gramEnd"/>
      <w:r w:rsidRPr="005D54EC">
        <w:rPr>
          <w:rFonts w:ascii="Times New Roman" w:hAnsi="Times New Roman"/>
          <w:sz w:val="28"/>
          <w:szCs w:val="28"/>
          <w:lang w:eastAsia="ru-RU"/>
        </w:rPr>
        <w:t xml:space="preserve"> таким образом неправильно (п. 64 Постановления Пленума Верховного Суда РФ N 56; разд. X Обзора, утв. Президиумом Верховного Суда РФ 13.05.2015).</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lastRenderedPageBreak/>
        <w:t>По заявлению стороны в споре суд может применить исковую давность и отказать в удовлетворении иска (полностью или в части) о взыскании неустойки по мотиву пропуска срока исковой давности, исчисляемого отдельно по каждому просроченному месячному платежу (ст. 4 СК РФ; ст. ст. 196, 199, 208 ГК РФ; п. 65 Постановления Пленума Верховного Суда РФ N 56).</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Неустойка по алиментам определяется по формуле: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Н = А </w:t>
      </w:r>
      <w:proofErr w:type="spellStart"/>
      <w:r w:rsidRPr="005D54EC">
        <w:rPr>
          <w:rFonts w:ascii="Times New Roman" w:hAnsi="Times New Roman"/>
          <w:sz w:val="28"/>
          <w:szCs w:val="28"/>
          <w:lang w:eastAsia="ru-RU"/>
        </w:rPr>
        <w:t>x</w:t>
      </w:r>
      <w:proofErr w:type="spellEnd"/>
      <w:r w:rsidRPr="005D54EC">
        <w:rPr>
          <w:rFonts w:ascii="Times New Roman" w:hAnsi="Times New Roman"/>
          <w:sz w:val="28"/>
          <w:szCs w:val="28"/>
          <w:lang w:eastAsia="ru-RU"/>
        </w:rPr>
        <w:t xml:space="preserve"> 0,1% </w:t>
      </w:r>
      <w:proofErr w:type="spellStart"/>
      <w:r w:rsidRPr="005D54EC">
        <w:rPr>
          <w:rFonts w:ascii="Times New Roman" w:hAnsi="Times New Roman"/>
          <w:sz w:val="28"/>
          <w:szCs w:val="28"/>
          <w:lang w:eastAsia="ru-RU"/>
        </w:rPr>
        <w:t>x</w:t>
      </w:r>
      <w:proofErr w:type="spellEnd"/>
      <w:r w:rsidRPr="005D54EC">
        <w:rPr>
          <w:rFonts w:ascii="Times New Roman" w:hAnsi="Times New Roman"/>
          <w:sz w:val="28"/>
          <w:szCs w:val="28"/>
          <w:lang w:eastAsia="ru-RU"/>
        </w:rPr>
        <w:t xml:space="preserve"> Кд,</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где: Н - сумма неустойки за каждый месяц просрочки,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А - сумма задолженности по алиментам на конец месяца,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Кд - количество дней просрочки.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Сумма неустойки за весь период просрочки определяется путем сложения сумм неустойки за каждый месяц просрочки.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Размер задолженности по алиментам определяется судебным приставом-исполнителем. Задолженность по алиментам, уплачиваемым на несовершеннолетних детей в долях к заработку должника, определяется исходя из заработка и иного дохода должника за период, в течение которого алименты не взыскивались. </w:t>
      </w:r>
      <w:proofErr w:type="gramStart"/>
      <w:r w:rsidRPr="005D54EC">
        <w:rPr>
          <w:rFonts w:ascii="Times New Roman" w:hAnsi="Times New Roman"/>
          <w:sz w:val="28"/>
          <w:szCs w:val="28"/>
          <w:lang w:eastAsia="ru-RU"/>
        </w:rPr>
        <w:t>Если должник в этот период не работал либо не были представлены документы о его доходах за этот период, то задолженность по алиментам определяется исходя из размера средней заработной платы в РФ на момент взыскания задолженности (п. п. 3, 4 ст. 113 СК РФ; ч. 2, 3 ст. 102 Закона от 02.10.2007 N 229-ФЗ).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Пример. Расчет неустойки по алиментам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Решением суда с А. в пользу Б. взысканы алименты на содержание несовершеннолетнего ребенка в размере 1/4 части заработной платы или иного дохода начиная с 01.09.2021. Срок уплаты алиментов за сентябрь 2021 г. - до 01.10.2021, за октябрь 2021 г. - до 01.11.2021. Размер задолженности по алиментам без учета неустойки составляет 10 000 руб. как за сентябрь 2021 г., так и за октябрь 2021 г.</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Должником задолженность по алиментам за сентябрь и октябрь 2021 г. погашена 20.12.2021.</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Таким образом, размер неустойки составит: 1 310 руб. = 10 000 руб. </w:t>
      </w:r>
      <w:proofErr w:type="spellStart"/>
      <w:r w:rsidRPr="005D54EC">
        <w:rPr>
          <w:rFonts w:ascii="Times New Roman" w:hAnsi="Times New Roman"/>
          <w:sz w:val="28"/>
          <w:szCs w:val="28"/>
          <w:lang w:eastAsia="ru-RU"/>
        </w:rPr>
        <w:t>x</w:t>
      </w:r>
      <w:proofErr w:type="spellEnd"/>
      <w:r w:rsidRPr="005D54EC">
        <w:rPr>
          <w:rFonts w:ascii="Times New Roman" w:hAnsi="Times New Roman"/>
          <w:sz w:val="28"/>
          <w:szCs w:val="28"/>
          <w:lang w:eastAsia="ru-RU"/>
        </w:rPr>
        <w:t xml:space="preserve"> 0,1% </w:t>
      </w:r>
      <w:proofErr w:type="spellStart"/>
      <w:r w:rsidRPr="005D54EC">
        <w:rPr>
          <w:rFonts w:ascii="Times New Roman" w:hAnsi="Times New Roman"/>
          <w:sz w:val="28"/>
          <w:szCs w:val="28"/>
          <w:lang w:eastAsia="ru-RU"/>
        </w:rPr>
        <w:t>x</w:t>
      </w:r>
      <w:proofErr w:type="spellEnd"/>
      <w:r w:rsidRPr="005D54EC">
        <w:rPr>
          <w:rFonts w:ascii="Times New Roman" w:hAnsi="Times New Roman"/>
          <w:sz w:val="28"/>
          <w:szCs w:val="28"/>
          <w:lang w:eastAsia="ru-RU"/>
        </w:rPr>
        <w:t xml:space="preserve"> 31 </w:t>
      </w:r>
      <w:proofErr w:type="spellStart"/>
      <w:r w:rsidRPr="005D54EC">
        <w:rPr>
          <w:rFonts w:ascii="Times New Roman" w:hAnsi="Times New Roman"/>
          <w:sz w:val="28"/>
          <w:szCs w:val="28"/>
          <w:lang w:eastAsia="ru-RU"/>
        </w:rPr>
        <w:t>дн</w:t>
      </w:r>
      <w:proofErr w:type="spellEnd"/>
      <w:r w:rsidRPr="005D54EC">
        <w:rPr>
          <w:rFonts w:ascii="Times New Roman" w:hAnsi="Times New Roman"/>
          <w:sz w:val="28"/>
          <w:szCs w:val="28"/>
          <w:lang w:eastAsia="ru-RU"/>
        </w:rPr>
        <w:t xml:space="preserve">. + 20 000 руб. </w:t>
      </w:r>
      <w:proofErr w:type="spellStart"/>
      <w:r w:rsidRPr="005D54EC">
        <w:rPr>
          <w:rFonts w:ascii="Times New Roman" w:hAnsi="Times New Roman"/>
          <w:sz w:val="28"/>
          <w:szCs w:val="28"/>
          <w:lang w:eastAsia="ru-RU"/>
        </w:rPr>
        <w:t>x</w:t>
      </w:r>
      <w:proofErr w:type="spellEnd"/>
      <w:r w:rsidRPr="005D54EC">
        <w:rPr>
          <w:rFonts w:ascii="Times New Roman" w:hAnsi="Times New Roman"/>
          <w:sz w:val="28"/>
          <w:szCs w:val="28"/>
          <w:lang w:eastAsia="ru-RU"/>
        </w:rPr>
        <w:t xml:space="preserve"> 0,1% </w:t>
      </w:r>
      <w:proofErr w:type="spellStart"/>
      <w:r w:rsidRPr="005D54EC">
        <w:rPr>
          <w:rFonts w:ascii="Times New Roman" w:hAnsi="Times New Roman"/>
          <w:sz w:val="28"/>
          <w:szCs w:val="28"/>
          <w:lang w:eastAsia="ru-RU"/>
        </w:rPr>
        <w:t>x</w:t>
      </w:r>
      <w:proofErr w:type="spellEnd"/>
      <w:r w:rsidRPr="005D54EC">
        <w:rPr>
          <w:rFonts w:ascii="Times New Roman" w:hAnsi="Times New Roman"/>
          <w:sz w:val="28"/>
          <w:szCs w:val="28"/>
          <w:lang w:eastAsia="ru-RU"/>
        </w:rPr>
        <w:t xml:space="preserve"> 50 </w:t>
      </w:r>
      <w:proofErr w:type="spellStart"/>
      <w:r w:rsidRPr="005D54EC">
        <w:rPr>
          <w:rFonts w:ascii="Times New Roman" w:hAnsi="Times New Roman"/>
          <w:sz w:val="28"/>
          <w:szCs w:val="28"/>
          <w:lang w:eastAsia="ru-RU"/>
        </w:rPr>
        <w:t>дн</w:t>
      </w:r>
      <w:proofErr w:type="spellEnd"/>
      <w:r w:rsidRPr="005D54EC">
        <w:rPr>
          <w:rFonts w:ascii="Times New Roman" w:hAnsi="Times New Roman"/>
          <w:sz w:val="28"/>
          <w:szCs w:val="28"/>
          <w:lang w:eastAsia="ru-RU"/>
        </w:rPr>
        <w:t>.</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14B22" w:rsidRDefault="00514B22"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14B22" w:rsidRPr="005D54EC" w:rsidRDefault="00514B22"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14B22">
      <w:pPr>
        <w:widowControl w:val="0"/>
        <w:autoSpaceDE w:val="0"/>
        <w:autoSpaceDN w:val="0"/>
        <w:spacing w:after="0" w:line="240" w:lineRule="auto"/>
        <w:contextualSpacing/>
        <w:jc w:val="center"/>
        <w:rPr>
          <w:rFonts w:ascii="Times New Roman" w:hAnsi="Times New Roman"/>
          <w:sz w:val="28"/>
          <w:szCs w:val="28"/>
          <w:lang w:eastAsia="ru-RU"/>
        </w:rPr>
      </w:pPr>
      <w:r w:rsidRPr="005D54EC">
        <w:rPr>
          <w:rFonts w:ascii="Times New Roman" w:hAnsi="Times New Roman"/>
          <w:sz w:val="28"/>
          <w:szCs w:val="28"/>
          <w:lang w:eastAsia="ru-RU"/>
        </w:rPr>
        <w:lastRenderedPageBreak/>
        <w:t>Порядок наблюдения у врача-нарколога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Наблюдение в наркологическом диспансере осуществляется врачами - психиатрами-наркологами при наличии письменного согласия пациента (его законного представителя). Врач ведет статистический учет пациентов и информирует их о порядке, сроках и периодичности диспансерного наблюдения.</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Диспансерное наблюдение представляет собой динамическое наблюдение, в том числе необходимое обследование, за состоянием здоровья пациентов в целях своевременного выявления, предупреждения осложнений, обострения заболевания, иных патологических состояний, их профилактики, осуществления лечения и медицинской реабилитации указанных лиц, а также подтверждения наличия стойкой ремиссии заболевания (ч. 5 ст. 46 Закона от 21.11.2011 N 323-ФЗ;</w:t>
      </w:r>
      <w:proofErr w:type="gramEnd"/>
      <w:r w:rsidRPr="005D54EC">
        <w:rPr>
          <w:rFonts w:ascii="Times New Roman" w:hAnsi="Times New Roman"/>
          <w:sz w:val="28"/>
          <w:szCs w:val="28"/>
          <w:lang w:eastAsia="ru-RU"/>
        </w:rPr>
        <w:t xml:space="preserve"> п. 2 Приложения 2 к Приказу Минздрава России от 30.12.2015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Установление диспансерного наблюдения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Наблюдение в наркологическом диспансере осуществляется за больными наркоманией и иными лицами, обратившимися за медицинской помощью по профилю "психиатрия-наркология" (п. 1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Больной наркоманией - это лицо, которому по результатам медицинского освидетельствования поставлен диагноз "наркомания".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Наркомания - это заболевание, обусловленное зависимостью от наркотического средства или психотропного вещества, требующее лечения (ст. 1 Закона от 08.01.1998 N 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Диспансерное наблюдение организуется при наличии информированного добровольного согласия в письменной форме. Согласие на медицинское вмешательство дается гражданином или его законным представителем. В частности, в отношении несовершеннолетнего больного наркоманией согласие дает один из родителей или иной законный представитель (за исключением случаев эмансипации) (п. 2 ст. 54 Закона N 3-ФЗ; ч. 1, 2 ст. 20 Закона N 323-ФЗ; п. 5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Диспансерное наблюдение осуществляют врачи - психиатры-наркологи (врачи - психиатры-наркологи участковые) в медицинских организациях, имеющих лицензию на медицинскую деятельность по оказанию услуг (выполнению работ) по "психиатрии-наркологии" по месту жительства или месту пребывания пациентов с учетом права пациента на выбор медицинской организации (п. п. 3, 4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Наличие оснований для организации диспансерного наблюдения, объем обследования, профилактических мероприятий, лечения и медицинской реабилитации определяются врачом - психиатром-наркологом (врачом-психиатром-наркологом участковым) (п. 6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Врач - психиатр-нарколог при проведении диспансерного наблюдения (п. 9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ведет статистический учет пациентов, находящихся под диспансерным наблюдением;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 xml:space="preserve">направляет запрос о предоставлении сведений о состоянии здоровья </w:t>
      </w:r>
      <w:r w:rsidRPr="005D54EC">
        <w:rPr>
          <w:rFonts w:ascii="Times New Roman" w:hAnsi="Times New Roman"/>
          <w:sz w:val="28"/>
          <w:szCs w:val="28"/>
          <w:lang w:eastAsia="ru-RU"/>
        </w:rPr>
        <w:lastRenderedPageBreak/>
        <w:t>пациентов и их диагнозе, иных сведений, полученных при их медицинском обследовании и лечении, в медицинские организации, оказывающие услуги (выполняющие работы) по "психиатрии-наркологии", по месту жительства (при наличии) пациентов в случае проведения диспансерного наблюдения по месту их пребывания;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информирует пациентов, находящихся под диспансерным наблюдением, о порядке, объеме, сроках и периодичности диспансерного наблюдения;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организует и осуществляет проведение диспансерных приемов (осмотров, консультаций), профилактических мероприятий, лечения и медицинской реабилитации;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 случае невозможности посещения пациентом, подлежащим диспансерному наблюдению, медицинской организации в связи с тяжестью состояния или нарушением двигательных функций организует проведение диспансерного приема (осмотра, консультации) на дому.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Периодичность медицинских осмотров при диспансерном наблюдении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Осмотр врачом - психиатром-наркологом пациентов, находящихся под диспансерным наблюдением, осуществляется (п. 7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 течение первого года ремиссии - не реже раза в месяц;</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находящихся в ремиссии от одного до двух лет - не реже раза в шесть недель;</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находящихся в ремиссии свыше двух лет - не реже раза в три месяца.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Также не реже раза в три месяца проводится углубленный медицинский осмотр, </w:t>
      </w:r>
      <w:proofErr w:type="gramStart"/>
      <w:r w:rsidRPr="005D54EC">
        <w:rPr>
          <w:rFonts w:ascii="Times New Roman" w:hAnsi="Times New Roman"/>
          <w:sz w:val="28"/>
          <w:szCs w:val="28"/>
          <w:lang w:eastAsia="ru-RU"/>
        </w:rPr>
        <w:t>предусматривающий</w:t>
      </w:r>
      <w:proofErr w:type="gramEnd"/>
      <w:r w:rsidRPr="005D54EC">
        <w:rPr>
          <w:rFonts w:ascii="Times New Roman" w:hAnsi="Times New Roman"/>
          <w:sz w:val="28"/>
          <w:szCs w:val="28"/>
          <w:lang w:eastAsia="ru-RU"/>
        </w:rPr>
        <w:t xml:space="preserve"> в том числе проведение обследования на наличие </w:t>
      </w:r>
      <w:proofErr w:type="spellStart"/>
      <w:r w:rsidRPr="005D54EC">
        <w:rPr>
          <w:rFonts w:ascii="Times New Roman" w:hAnsi="Times New Roman"/>
          <w:sz w:val="28"/>
          <w:szCs w:val="28"/>
          <w:lang w:eastAsia="ru-RU"/>
        </w:rPr>
        <w:t>психоактивных</w:t>
      </w:r>
      <w:proofErr w:type="spellEnd"/>
      <w:r w:rsidRPr="005D54EC">
        <w:rPr>
          <w:rFonts w:ascii="Times New Roman" w:hAnsi="Times New Roman"/>
          <w:sz w:val="28"/>
          <w:szCs w:val="28"/>
          <w:lang w:eastAsia="ru-RU"/>
        </w:rPr>
        <w:t xml:space="preserve"> веществ и их уровень (если они имеются), психопатологическое обследование, психологическое консультирование (п. 8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Решение об изменении сроков диспансерного наблюдения принимается врачебной комиссией медицинской организации (п. 11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Правила при осуществлении рыболовства и требования, предъявляемые к нему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Правилами рыболовства может быть установлена суточная норма вылова рыбы гражданами, запрещены вылов отдельных видов рыб и рыболовство в определенных районах и т.п.</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Граждане могут осуществлять, в частности, следующие виды рыболовства (п. п. 6, 7 ч. 1 ст. 16 Закона от 20.12.2004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любительское рыболовство;</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рыболовство как часть традиционного образа жизни и традиционной хозяйственной деятельности коренных малочисленных народов Севера, Сибири и Дальнего Востока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Под любительским рыболовством понимается деятельность по добыче (вылову) водных биологических ресурсов (далее также - вылов), осуществляемая гражданами в целях удовлетворения личных потребностей, а также при проведении официальных физкультурных мероприятий и спортивных мероприятий (п. 1 ч. 1 ст. 2 Закона от 25.12.2018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 Общие правила любительского рыболовства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Отдельные ограничения рыболовства, в том числе любительского, предусмотрены правилами рыболовства, которые обязательны для </w:t>
      </w:r>
      <w:proofErr w:type="gramStart"/>
      <w:r w:rsidRPr="005D54EC">
        <w:rPr>
          <w:rFonts w:ascii="Times New Roman" w:hAnsi="Times New Roman"/>
          <w:sz w:val="28"/>
          <w:szCs w:val="28"/>
          <w:lang w:eastAsia="ru-RU"/>
        </w:rPr>
        <w:t>исполнения</w:t>
      </w:r>
      <w:proofErr w:type="gramEnd"/>
      <w:r w:rsidRPr="005D54EC">
        <w:rPr>
          <w:rFonts w:ascii="Times New Roman" w:hAnsi="Times New Roman"/>
          <w:sz w:val="28"/>
          <w:szCs w:val="28"/>
          <w:lang w:eastAsia="ru-RU"/>
        </w:rPr>
        <w:t xml:space="preserve"> в том числе гражданами (ч. 1, 3, 4 ст. 43.1 Закона N 166-ФЗ; ч. 1 ст. 8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1.1. Ограничения в отношении водных объектов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Заниматься любительским рыболовством граждане РФ могут, как правило, свободно и бесплатно на водных объектах общего пользования (ч. 1 ст. 6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За вылов водных биологических ресурсов на водных объектах, которые находятся в собственности граждан или юридических лиц, может устанавливаться плата. При этом заниматься рыболовством на рыболовных (рыбопромысловых) участках, предоставленных в пользование юридическому лицу или ИП для организации рыболовства, граждане могут при наличии путевки. </w:t>
      </w:r>
      <w:proofErr w:type="gramStart"/>
      <w:r w:rsidRPr="005D54EC">
        <w:rPr>
          <w:rFonts w:ascii="Times New Roman" w:hAnsi="Times New Roman"/>
          <w:sz w:val="28"/>
          <w:szCs w:val="28"/>
          <w:lang w:eastAsia="ru-RU"/>
        </w:rPr>
        <w:t>Этот документ подтверждает заключение договора возмездного оказания услуг в области рыболовства и содержит срок ее действия, согласованный для вылова объем водных биоресурсов, район вылова в пределах участка и орудия вылова (ст. 18, ч. 1 ст. 33.3 Закона N 166-ФЗ; ч. 2 ст. 6, ч. 3, 4 ст. 18 Закона N 475-ФЗ;</w:t>
      </w:r>
      <w:proofErr w:type="gramEnd"/>
      <w:r w:rsidRPr="005D54EC">
        <w:rPr>
          <w:rFonts w:ascii="Times New Roman" w:hAnsi="Times New Roman"/>
          <w:sz w:val="28"/>
          <w:szCs w:val="28"/>
          <w:lang w:eastAsia="ru-RU"/>
        </w:rPr>
        <w:t xml:space="preserve"> п. 10.1 разд. II Правил, утв. Приказом Минсельхоза России от 21.10.2020 N 620).</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Рыболовство может быть запрещено или ограничено на водных </w:t>
      </w:r>
      <w:proofErr w:type="gramStart"/>
      <w:r w:rsidRPr="005D54EC">
        <w:rPr>
          <w:rFonts w:ascii="Times New Roman" w:hAnsi="Times New Roman"/>
          <w:sz w:val="28"/>
          <w:szCs w:val="28"/>
          <w:lang w:eastAsia="ru-RU"/>
        </w:rPr>
        <w:t>объектах</w:t>
      </w:r>
      <w:proofErr w:type="gramEnd"/>
      <w:r w:rsidRPr="005D54EC">
        <w:rPr>
          <w:rFonts w:ascii="Times New Roman" w:hAnsi="Times New Roman"/>
          <w:sz w:val="28"/>
          <w:szCs w:val="28"/>
          <w:lang w:eastAsia="ru-RU"/>
        </w:rPr>
        <w:t xml:space="preserve"> на землях обороны и безопасности, землях особо охраняемых природных территорий, иных землях, доступ граждан на которые запрещен или ограничен (ч. 3 ст. 6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Также рыболовство запрещено на следующих водных объектах (ч. 4 ст. 6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w:t>
      </w:r>
      <w:r w:rsidRPr="005D54EC">
        <w:rPr>
          <w:rFonts w:ascii="Times New Roman" w:hAnsi="Times New Roman"/>
          <w:sz w:val="28"/>
          <w:szCs w:val="28"/>
          <w:lang w:eastAsia="ru-RU"/>
        </w:rPr>
        <w:tab/>
        <w:t xml:space="preserve">на обводненных карьерах и прудах (в том числе образованных </w:t>
      </w:r>
      <w:r w:rsidRPr="005D54EC">
        <w:rPr>
          <w:rFonts w:ascii="Times New Roman" w:hAnsi="Times New Roman"/>
          <w:sz w:val="28"/>
          <w:szCs w:val="28"/>
          <w:lang w:eastAsia="ru-RU"/>
        </w:rPr>
        <w:lastRenderedPageBreak/>
        <w:t xml:space="preserve">водоподпорными сооружениями на водотоках), используемых для прудовой </w:t>
      </w:r>
      <w:proofErr w:type="spellStart"/>
      <w:r w:rsidRPr="005D54EC">
        <w:rPr>
          <w:rFonts w:ascii="Times New Roman" w:hAnsi="Times New Roman"/>
          <w:sz w:val="28"/>
          <w:szCs w:val="28"/>
          <w:lang w:eastAsia="ru-RU"/>
        </w:rPr>
        <w:t>аквакультуры</w:t>
      </w:r>
      <w:proofErr w:type="spellEnd"/>
      <w:r w:rsidRPr="005D54EC">
        <w:rPr>
          <w:rFonts w:ascii="Times New Roman" w:hAnsi="Times New Roman"/>
          <w:sz w:val="28"/>
          <w:szCs w:val="28"/>
          <w:lang w:eastAsia="ru-RU"/>
        </w:rPr>
        <w:t xml:space="preserve"> и не находящихся в собственности граждан или юридических лиц, а также на водных объектах, используемых в процессе функционирования мелиоративных систем;</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 xml:space="preserve">иных водных объектах, предоставленных для товарного рыбоводства, за исключением случаев, когда на указанных объектах допускается осуществлять добычу (вылов) водных животных и растений, не являющихся объектами </w:t>
      </w:r>
      <w:proofErr w:type="spellStart"/>
      <w:r w:rsidRPr="005D54EC">
        <w:rPr>
          <w:rFonts w:ascii="Times New Roman" w:hAnsi="Times New Roman"/>
          <w:sz w:val="28"/>
          <w:szCs w:val="28"/>
          <w:lang w:eastAsia="ru-RU"/>
        </w:rPr>
        <w:t>аквакультуры</w:t>
      </w:r>
      <w:proofErr w:type="spellEnd"/>
      <w:r w:rsidRPr="005D54EC">
        <w:rPr>
          <w:rFonts w:ascii="Times New Roman" w:hAnsi="Times New Roman"/>
          <w:sz w:val="28"/>
          <w:szCs w:val="28"/>
          <w:lang w:eastAsia="ru-RU"/>
        </w:rPr>
        <w:t>.</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1.2. Ограничения в целях обеспечения сохранения водных биоресурсов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 общем случае запрещен вылов редких и находящихся под угрозой исчезновения видов водных биологических ресурсов, занесенных в Красную книгу РФ и (или) Красную книгу субъекта РФ. К таким видам относится, например, сибирский осетр (за исключением популяций бассейна реки Лены) (ст. 27 Закона N 166-ФЗ; п. 162 разд. 2 ч. II Перечня, утв. Приказом Минприроды России от 24.03.2020 N 162).</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 целях обеспечения сохранения водных биоресурсов и их рационального использования могут устанавливаться, в частности, следующие ограничения любительского рыболовства (ч. 1 ст. 26 Закона N 166-ФЗ; ч. 1 ст. 7, ч. 2, 6 ст. 9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запрет и закрытие рыболовства в определенных районах и в отношении отдельных видов водных биоресурсов;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ограничение видов и количества разрешаемых орудий и способов вылова, размера ячеи орудий вылова, размера и конструкции орудий вылова;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3)</w:t>
      </w:r>
      <w:r w:rsidRPr="005D54EC">
        <w:rPr>
          <w:rFonts w:ascii="Times New Roman" w:hAnsi="Times New Roman"/>
          <w:sz w:val="28"/>
          <w:szCs w:val="28"/>
          <w:lang w:eastAsia="ru-RU"/>
        </w:rPr>
        <w:tab/>
        <w:t>установление периодов любительского рыболовства с применением сетей в водных объектах районов Севера, Сибири и Дальнего Востока;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4)</w:t>
      </w:r>
      <w:r w:rsidRPr="005D54EC">
        <w:rPr>
          <w:rFonts w:ascii="Times New Roman" w:hAnsi="Times New Roman"/>
          <w:sz w:val="28"/>
          <w:szCs w:val="28"/>
          <w:lang w:eastAsia="ru-RU"/>
        </w:rPr>
        <w:tab/>
        <w:t>запрет рыболовства с использованием взрывчатых и химических веществ, а также электротока;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5)</w:t>
      </w:r>
      <w:r w:rsidRPr="005D54EC">
        <w:rPr>
          <w:rFonts w:ascii="Times New Roman" w:hAnsi="Times New Roman"/>
          <w:sz w:val="28"/>
          <w:szCs w:val="28"/>
          <w:lang w:eastAsia="ru-RU"/>
        </w:rPr>
        <w:tab/>
        <w:t>запрет использования сетей, за некоторым исключением;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6)</w:t>
      </w:r>
      <w:r w:rsidRPr="005D54EC">
        <w:rPr>
          <w:rFonts w:ascii="Times New Roman" w:hAnsi="Times New Roman"/>
          <w:sz w:val="28"/>
          <w:szCs w:val="28"/>
          <w:lang w:eastAsia="ru-RU"/>
        </w:rPr>
        <w:tab/>
        <w:t>суточная норма вылова.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7)</w:t>
      </w:r>
      <w:r w:rsidRPr="005D54EC">
        <w:rPr>
          <w:rFonts w:ascii="Times New Roman" w:hAnsi="Times New Roman"/>
          <w:sz w:val="28"/>
          <w:szCs w:val="28"/>
          <w:lang w:eastAsia="ru-RU"/>
        </w:rPr>
        <w:tab/>
        <w:t>запрет подводной охоты в следующих случаях:</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 местах массового отдыха граждан;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с использованием индивидуальных электронных средств обнаружения водных биоресурсов под водой;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с использованием аквалангов и других автономных дыхательных аппаратов;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с применением орудий, используемых для подводной добычи, над поверхностью водных объектов.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Правила рыболовства утверждаются для каждого </w:t>
      </w:r>
      <w:proofErr w:type="spellStart"/>
      <w:r w:rsidRPr="005D54EC">
        <w:rPr>
          <w:rFonts w:ascii="Times New Roman" w:hAnsi="Times New Roman"/>
          <w:sz w:val="28"/>
          <w:szCs w:val="28"/>
          <w:lang w:eastAsia="ru-RU"/>
        </w:rPr>
        <w:t>рыбохозяйственного</w:t>
      </w:r>
      <w:proofErr w:type="spellEnd"/>
      <w:r w:rsidRPr="005D54EC">
        <w:rPr>
          <w:rFonts w:ascii="Times New Roman" w:hAnsi="Times New Roman"/>
          <w:sz w:val="28"/>
          <w:szCs w:val="28"/>
          <w:lang w:eastAsia="ru-RU"/>
        </w:rPr>
        <w:t xml:space="preserve"> бассейна (ч. 2 ст. 43.1 Закона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14B22" w:rsidRPr="005D54EC" w:rsidRDefault="00514B22"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Стаж, необходимый для получения звания "Ветеран труда"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Для получения звания ветерана труда необходим трудовой (страховой) стаж не менее 25 лет для мужчин или 20 лет для женщин либо соответствующая выслуга лет. Особый стаж установлен для лиц, начавших трудовую деятельность несовершеннолетними в период ВОВ.</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Стаж для получения звания "Ветеран труда"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Для присвоения звания ветерана труда </w:t>
      </w:r>
      <w:proofErr w:type="gramStart"/>
      <w:r w:rsidRPr="005D54EC">
        <w:rPr>
          <w:rFonts w:ascii="Times New Roman" w:hAnsi="Times New Roman"/>
          <w:sz w:val="28"/>
          <w:szCs w:val="28"/>
          <w:lang w:eastAsia="ru-RU"/>
        </w:rPr>
        <w:t>важное значение</w:t>
      </w:r>
      <w:proofErr w:type="gramEnd"/>
      <w:r w:rsidRPr="005D54EC">
        <w:rPr>
          <w:rFonts w:ascii="Times New Roman" w:hAnsi="Times New Roman"/>
          <w:sz w:val="28"/>
          <w:szCs w:val="28"/>
          <w:lang w:eastAsia="ru-RU"/>
        </w:rPr>
        <w:t xml:space="preserve"> имеет стаж работы (службы). Так, данное звание могут получить следующие лица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2 п. 1 ст. 7 Закона от 12.01.1995 N 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имеющие определенные награды, если продолжительность их работы в соответствующей сфере деятельности не менее 15 лет, а учитываемый для назначения пенсии трудовой (страховой) стаж не менее 25 или 20 лет (соответственно для мужчин и женщин);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w:t>
      </w:r>
      <w:r w:rsidRPr="005D54EC">
        <w:rPr>
          <w:rFonts w:ascii="Times New Roman" w:hAnsi="Times New Roman"/>
          <w:sz w:val="28"/>
          <w:szCs w:val="28"/>
          <w:lang w:eastAsia="ru-RU"/>
        </w:rPr>
        <w:tab/>
        <w:t>начавшие трудовую деятельность в несовершеннолетнем возрасте в период Великой Отечественной войны и имеющие трудовой (страховой) стаж не менее 40 или 35 лет (соответственно для мужчин и женщин).</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(иной деятельности), которые засчитываются в страховой стаж для получения пенсии (ст. 2 Закона от 15.12.2001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Страховой стаж - учитываемая для назначения страховой пенсии суммарная продолжительность периодов работы (иной деятельности), за которые начислялись и уплачивались страховые взносы в ПФР, а также иных периодов (например, период ухода одного из родителей за каждым ребенком до достижения им полутора лет, но не более шести лет) (п. 2 ст. 3, ст. 12 Закона от 28.12.2013 N 400-ФЗ).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Выслуга лет для получения звания "Ветеран труда"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присвоении звания ветерана труда определенным категориям граждан вместо трудового (страхового) стажа может учитываться выслуга лет, которая должна быть достаточна для назначения соответствующей пенсии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2 п. 1 ст. 7 Закона N 5-ФЗ; п. 2 ст. 5 Закона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Так, для назначения пенсии за выслугу лет федеральным государственным гражданским служащим имеет значение продолжительность стажа </w:t>
      </w:r>
      <w:proofErr w:type="spellStart"/>
      <w:r w:rsidRPr="005D54EC">
        <w:rPr>
          <w:rFonts w:ascii="Times New Roman" w:hAnsi="Times New Roman"/>
          <w:sz w:val="28"/>
          <w:szCs w:val="28"/>
          <w:lang w:eastAsia="ru-RU"/>
        </w:rPr>
        <w:t>госслужбы</w:t>
      </w:r>
      <w:proofErr w:type="spellEnd"/>
      <w:r w:rsidRPr="005D54EC">
        <w:rPr>
          <w:rFonts w:ascii="Times New Roman" w:hAnsi="Times New Roman"/>
          <w:sz w:val="28"/>
          <w:szCs w:val="28"/>
          <w:lang w:eastAsia="ru-RU"/>
        </w:rPr>
        <w:t>, которая в 2021 г. составляет 17,5 лет. Военнослужащие для получения пенсии за выслугу лет, в частности, должны иметь на день увольнения со службы не менее 20 лет выслуги (п. п. 1, 4 ст. 7 Закона N 166-ФЗ; Приложение 2 к Закону N 166-ФЗ; ч. 1 ст. 13 Закона от 12.02.1993 N 4468-1).</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ab/>
      </w:r>
      <w:r w:rsidRPr="005D54EC">
        <w:rPr>
          <w:rFonts w:ascii="Times New Roman" w:hAnsi="Times New Roman"/>
          <w:sz w:val="28"/>
          <w:szCs w:val="28"/>
          <w:lang w:eastAsia="ru-RU"/>
        </w:rPr>
        <w:tab/>
        <w:t>Ответственность за стоянку у водоемов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 xml:space="preserve">Границы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установлены законодательством и зависят от типа водоема. В них запрещено движение и стоянка ТС, а за нарушение предусмотрены штрафы.</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spellStart"/>
      <w:r w:rsidRPr="005D54EC">
        <w:rPr>
          <w:rFonts w:ascii="Times New Roman" w:hAnsi="Times New Roman"/>
          <w:sz w:val="28"/>
          <w:szCs w:val="28"/>
          <w:lang w:eastAsia="ru-RU"/>
        </w:rPr>
        <w:t>Водоохранная</w:t>
      </w:r>
      <w:proofErr w:type="spellEnd"/>
      <w:r w:rsidRPr="005D54EC">
        <w:rPr>
          <w:rFonts w:ascii="Times New Roman" w:hAnsi="Times New Roman"/>
          <w:sz w:val="28"/>
          <w:szCs w:val="28"/>
          <w:lang w:eastAsia="ru-RU"/>
        </w:rPr>
        <w:t xml:space="preserve"> зона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Водные объекты (реки, ручьи, озера и др.) имеют </w:t>
      </w:r>
      <w:proofErr w:type="spellStart"/>
      <w:r w:rsidRPr="005D54EC">
        <w:rPr>
          <w:rFonts w:ascii="Times New Roman" w:hAnsi="Times New Roman"/>
          <w:sz w:val="28"/>
          <w:szCs w:val="28"/>
          <w:lang w:eastAsia="ru-RU"/>
        </w:rPr>
        <w:t>водоохранную</w:t>
      </w:r>
      <w:proofErr w:type="spellEnd"/>
      <w:r w:rsidRPr="005D54EC">
        <w:rPr>
          <w:rFonts w:ascii="Times New Roman" w:hAnsi="Times New Roman"/>
          <w:sz w:val="28"/>
          <w:szCs w:val="28"/>
          <w:lang w:eastAsia="ru-RU"/>
        </w:rPr>
        <w:t xml:space="preserve"> зону и прибрежную защитную полосу.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spellStart"/>
      <w:r w:rsidRPr="005D54EC">
        <w:rPr>
          <w:rFonts w:ascii="Times New Roman" w:hAnsi="Times New Roman"/>
          <w:sz w:val="28"/>
          <w:szCs w:val="28"/>
          <w:lang w:eastAsia="ru-RU"/>
        </w:rPr>
        <w:t>Водоохранными</w:t>
      </w:r>
      <w:proofErr w:type="spellEnd"/>
      <w:r w:rsidRPr="005D54EC">
        <w:rPr>
          <w:rFonts w:ascii="Times New Roman" w:hAnsi="Times New Roman"/>
          <w:sz w:val="28"/>
          <w:szCs w:val="28"/>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(ч. 1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 границах </w:t>
      </w:r>
      <w:proofErr w:type="spellStart"/>
      <w:r w:rsidRPr="005D54EC">
        <w:rPr>
          <w:rFonts w:ascii="Times New Roman" w:hAnsi="Times New Roman"/>
          <w:sz w:val="28"/>
          <w:szCs w:val="28"/>
          <w:lang w:eastAsia="ru-RU"/>
        </w:rPr>
        <w:t>водоохранных</w:t>
      </w:r>
      <w:proofErr w:type="spellEnd"/>
      <w:r w:rsidRPr="005D54EC">
        <w:rPr>
          <w:rFonts w:ascii="Times New Roman" w:hAnsi="Times New Roman"/>
          <w:sz w:val="28"/>
          <w:szCs w:val="28"/>
          <w:lang w:eastAsia="ru-RU"/>
        </w:rPr>
        <w:t xml:space="preserve"> зон, в частности,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(п. 4 ч. 15, ч. 16.2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За нарушение такого запрета физическими лицами предусмотрена административная ответственность в виде штрафа в размере от 3 000 до 4 500 руб. (ч. 1 ст. 8.42 </w:t>
      </w:r>
      <w:proofErr w:type="spellStart"/>
      <w:r w:rsidRPr="005D54EC">
        <w:rPr>
          <w:rFonts w:ascii="Times New Roman" w:hAnsi="Times New Roman"/>
          <w:sz w:val="28"/>
          <w:szCs w:val="28"/>
          <w:lang w:eastAsia="ru-RU"/>
        </w:rPr>
        <w:t>КоАП</w:t>
      </w:r>
      <w:proofErr w:type="spellEnd"/>
      <w:r w:rsidRPr="005D54EC">
        <w:rPr>
          <w:rFonts w:ascii="Times New Roman" w:hAnsi="Times New Roman"/>
          <w:sz w:val="28"/>
          <w:szCs w:val="28"/>
          <w:lang w:eastAsia="ru-RU"/>
        </w:rPr>
        <w:t xml:space="preserve">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Порядок определения границы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рек или ручьев зависит от их протяженности (ч. 4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для рек и ручьев протяженностью до 10 км - 50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от 10 до 50 км - 100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от 50 км и более - 200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Радиус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для истоков рек и ручьев составляет 50 м (ч. 5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озер и водохранилищ, за исключением озер, расположенных внутри болота, или озер и водохранилища с акваторией менее 0,5 кв. км, составляет 50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водохранилищ, расположенных на водотоке, устанавливается равной ширине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этого водотока (ч. 6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морей составляет 500 м (ч. 8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прибрежной защитной полосы рек, озер и водохранилищ, имеющих особо ценное </w:t>
      </w:r>
      <w:proofErr w:type="spellStart"/>
      <w:r w:rsidRPr="005D54EC">
        <w:rPr>
          <w:rFonts w:ascii="Times New Roman" w:hAnsi="Times New Roman"/>
          <w:sz w:val="28"/>
          <w:szCs w:val="28"/>
          <w:lang w:eastAsia="ru-RU"/>
        </w:rPr>
        <w:t>рыбохозяйственное</w:t>
      </w:r>
      <w:proofErr w:type="spellEnd"/>
      <w:r w:rsidRPr="005D54EC">
        <w:rPr>
          <w:rFonts w:ascii="Times New Roman" w:hAnsi="Times New Roman"/>
          <w:sz w:val="28"/>
          <w:szCs w:val="28"/>
          <w:lang w:eastAsia="ru-RU"/>
        </w:rPr>
        <w:t xml:space="preserve"> значение (места нереста, нагула, зимовки рыб и других водных биологических ресурсов), устанавливается в размере 200 м (ч. 13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Случаи уменьшения ответственности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Границы </w:t>
      </w:r>
      <w:proofErr w:type="spellStart"/>
      <w:r w:rsidRPr="005D54EC">
        <w:rPr>
          <w:rFonts w:ascii="Times New Roman" w:hAnsi="Times New Roman"/>
          <w:sz w:val="28"/>
          <w:szCs w:val="28"/>
          <w:lang w:eastAsia="ru-RU"/>
        </w:rPr>
        <w:t>водоохранных</w:t>
      </w:r>
      <w:proofErr w:type="spellEnd"/>
      <w:r w:rsidRPr="005D54EC">
        <w:rPr>
          <w:rFonts w:ascii="Times New Roman" w:hAnsi="Times New Roman"/>
          <w:sz w:val="28"/>
          <w:szCs w:val="28"/>
          <w:lang w:eastAsia="ru-RU"/>
        </w:rPr>
        <w:t xml:space="preserve"> зон могут быть обозначены специальными информационными знаками (ч. 18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Отсутствие таких знаков не является основанием для освобождения от ответственности. В данном случае ответственность наступает не в случае нарушения требований знаков, а именно за нарушение установленных </w:t>
      </w:r>
      <w:r w:rsidRPr="005D54EC">
        <w:rPr>
          <w:rFonts w:ascii="Times New Roman" w:hAnsi="Times New Roman"/>
          <w:sz w:val="28"/>
          <w:szCs w:val="28"/>
          <w:lang w:eastAsia="ru-RU"/>
        </w:rPr>
        <w:lastRenderedPageBreak/>
        <w:t xml:space="preserve">ограничений (ч. 1 ст. 8.42 </w:t>
      </w:r>
      <w:proofErr w:type="spellStart"/>
      <w:r w:rsidRPr="005D54EC">
        <w:rPr>
          <w:rFonts w:ascii="Times New Roman" w:hAnsi="Times New Roman"/>
          <w:sz w:val="28"/>
          <w:szCs w:val="28"/>
          <w:lang w:eastAsia="ru-RU"/>
        </w:rPr>
        <w:t>КоАП</w:t>
      </w:r>
      <w:proofErr w:type="spellEnd"/>
      <w:r w:rsidRPr="005D54EC">
        <w:rPr>
          <w:rFonts w:ascii="Times New Roman" w:hAnsi="Times New Roman"/>
          <w:sz w:val="28"/>
          <w:szCs w:val="28"/>
          <w:lang w:eastAsia="ru-RU"/>
        </w:rPr>
        <w:t xml:space="preserve"> РФ; п. 4 ч. 15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Чтобы не нарушить закон в случае отсутствия знаков и специально оборудованных мест для стоянки автомобилей, самостоятельно определите границу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с учетом указанных выше критериев.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Минимальный штраф, предусмотренный ч. 1 ст. 8.42 </w:t>
      </w:r>
      <w:proofErr w:type="spellStart"/>
      <w:r w:rsidRPr="005D54EC">
        <w:rPr>
          <w:rFonts w:ascii="Times New Roman" w:hAnsi="Times New Roman"/>
          <w:sz w:val="28"/>
          <w:szCs w:val="28"/>
          <w:lang w:eastAsia="ru-RU"/>
        </w:rPr>
        <w:t>КоАП</w:t>
      </w:r>
      <w:proofErr w:type="spellEnd"/>
      <w:r w:rsidRPr="005D54EC">
        <w:rPr>
          <w:rFonts w:ascii="Times New Roman" w:hAnsi="Times New Roman"/>
          <w:sz w:val="28"/>
          <w:szCs w:val="28"/>
          <w:lang w:eastAsia="ru-RU"/>
        </w:rPr>
        <w:t xml:space="preserve"> РФ, возможен при отсутствии отягчающих и наличии смягчающих обстоятельств. В данном случае смягчающими обстоятельствами будет служить (ст. ст. 4.2, 4.3 </w:t>
      </w:r>
      <w:proofErr w:type="spellStart"/>
      <w:r w:rsidRPr="005D54EC">
        <w:rPr>
          <w:rFonts w:ascii="Times New Roman" w:hAnsi="Times New Roman"/>
          <w:sz w:val="28"/>
          <w:szCs w:val="28"/>
          <w:lang w:eastAsia="ru-RU"/>
        </w:rPr>
        <w:t>КоАП</w:t>
      </w:r>
      <w:proofErr w:type="spellEnd"/>
      <w:r w:rsidRPr="005D54EC">
        <w:rPr>
          <w:rFonts w:ascii="Times New Roman" w:hAnsi="Times New Roman"/>
          <w:sz w:val="28"/>
          <w:szCs w:val="28"/>
          <w:lang w:eastAsia="ru-RU"/>
        </w:rPr>
        <w:t xml:space="preserve">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добровольное прекращение правонарушения;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раскаяние;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предотвращение вредных последствий правонарушения;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оказание содействия в установлении обстоятельств, подлежащих установлению по делу.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Случаи и порядок возврата  средств материнского капитала в ПФР</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Средства материнского капитала подлежат возврату в ПФР, в частности, в случае подачи заявления об отказе от их направления на формирование накопительной пенсии, в случае выплаты возмещения участникам долевого строительства, направившим такие средства на улучшение жилищных условий, при признании застройщика банкротом.</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Средства материнского капитала имеют строго целевое назначение и могут быть направлены лицами, получившими соответствующий сертификат, на следующие цели (ч. 3 ст. 7 Закона от 29.12.2006 N 256-ФЗ; ч. 4 ст. 1, ч. 11 ст. 3 Закона от 28.12.2017 N 418-ФЗ):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улучшение жилищных условий;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получение образования ребенком (детьми);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3)</w:t>
      </w:r>
      <w:r w:rsidRPr="005D54EC">
        <w:rPr>
          <w:rFonts w:ascii="Times New Roman" w:hAnsi="Times New Roman"/>
          <w:sz w:val="28"/>
          <w:szCs w:val="28"/>
          <w:lang w:eastAsia="ru-RU"/>
        </w:rPr>
        <w:tab/>
        <w:t>формирование накопительной пенсии для женщин, родивших (усыновивших) ребенка;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4)</w:t>
      </w:r>
      <w:r w:rsidRPr="005D54EC">
        <w:rPr>
          <w:rFonts w:ascii="Times New Roman" w:hAnsi="Times New Roman"/>
          <w:sz w:val="28"/>
          <w:szCs w:val="28"/>
          <w:lang w:eastAsia="ru-RU"/>
        </w:rPr>
        <w:tab/>
        <w:t>приобретение товаров и услуг, предназначенных для социальной адаптации и интеграции в общество детей-инвалидов;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5)</w:t>
      </w:r>
      <w:r w:rsidRPr="005D54EC">
        <w:rPr>
          <w:rFonts w:ascii="Times New Roman" w:hAnsi="Times New Roman"/>
          <w:sz w:val="28"/>
          <w:szCs w:val="28"/>
          <w:lang w:eastAsia="ru-RU"/>
        </w:rPr>
        <w:tab/>
        <w:t>получение ежемесячной выплаты в связи с рождением (усыновлением) второго ребенка.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 отдельных случаях перечисленные на определенные цели средства (часть средств) материнского капитала (далее - средства материнского капитала) подлежат возврату в ПФР. Вот некоторые из них.</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Выплата возмещения Фондом защиты прав граждан - участников долевого строительства или расторжение договора счета </w:t>
      </w:r>
      <w:proofErr w:type="spellStart"/>
      <w:r w:rsidRPr="005D54EC">
        <w:rPr>
          <w:rFonts w:ascii="Times New Roman" w:hAnsi="Times New Roman"/>
          <w:sz w:val="28"/>
          <w:szCs w:val="28"/>
          <w:lang w:eastAsia="ru-RU"/>
        </w:rPr>
        <w:t>эскроу</w:t>
      </w:r>
      <w:proofErr w:type="spell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Средства материнского капитала, использованные гражданами - участниками долевого строительства на улучшение своих жилищных условий, подлежат возврату в ПФР в следующих случаях (ч. 1, 4 ст. 10.1 Закона N 256-ФЗ; ч. 1 ст. 13 Закона от 29.07.2017 N 218-ФЗ; ч. 7, 8 ст. 15.5 Закона от 30.12.2004 N </w:t>
      </w:r>
      <w:r w:rsidRPr="005D54EC">
        <w:rPr>
          <w:rFonts w:ascii="Times New Roman" w:hAnsi="Times New Roman"/>
          <w:sz w:val="28"/>
          <w:szCs w:val="28"/>
          <w:lang w:eastAsia="ru-RU"/>
        </w:rPr>
        <w:lastRenderedPageBreak/>
        <w:t>214-ФЗ):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публично-правовая компания "Фонд защиты прав граждан - участников долевого строительства" (далее - Фонд защиты прав) выплатила возмещение в связи с признанием застройщика банкротом и открытием в отношении него конкурсного производства;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 xml:space="preserve">договор счета </w:t>
      </w:r>
      <w:proofErr w:type="spellStart"/>
      <w:r w:rsidRPr="005D54EC">
        <w:rPr>
          <w:rFonts w:ascii="Times New Roman" w:hAnsi="Times New Roman"/>
          <w:sz w:val="28"/>
          <w:szCs w:val="28"/>
          <w:lang w:eastAsia="ru-RU"/>
        </w:rPr>
        <w:t>эскроу</w:t>
      </w:r>
      <w:proofErr w:type="spellEnd"/>
      <w:r w:rsidRPr="005D54EC">
        <w:rPr>
          <w:rFonts w:ascii="Times New Roman" w:hAnsi="Times New Roman"/>
          <w:sz w:val="28"/>
          <w:szCs w:val="28"/>
          <w:lang w:eastAsia="ru-RU"/>
        </w:rPr>
        <w:t xml:space="preserve"> прекращен в связи с расторжением договора участия в долевом строительстве (далее - ДДУ) либо в связи с отказом от ДДУ в одностороннем порядке.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Фонд защиты прав или уполномоченный банк (соответственно в первом или во втором случае) запрашивает в ПФР сведения об использовании участником долевого строительства (его супругом, супругой) средств материнского капитала на улучшение жилищных условий и реквизиты счета, на который необходимо перечислить денежную сумму в размере использованных средств материнского капитала (ч. 1, 2, 4 ст. 10.1 Закона N 256-ФЗ).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 момента поступления денежных средств на указанный счет право гражданина на дополнительные меры государственной поддержки восстанавливается (ч. 7 ст. 10.1 Закона N 256-ФЗ).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Излишнее перечисление средств материнского капитала, направленных на улучшение жилищных условий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Частичный возврат средств материнского капитала должен быть осуществлен в случаях, когда сумма, указанная в заявлении о распоряжении средствами материнского капитала, направленная на улучшение жилищных условий и перечисленная на счет организации-кредитора (заимодавца), превышает одну из величин: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размер первоначального взноса при получении кредита (займа), в том числе ипотечного, на приобретение или строительство жилья;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размер остатка основного долга и процентов за пользование кредитом (займом) на момент поступления средств на счет организации.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Излишне перечисленная сумма в течение пяти банковских дней со дня поступления средств на счет кредитора подлежит возврату в ПФР на счет, с которого осуществлялось перечисление средств материнского капитала (ч. 1, 5, 7 ст. 10 Закона N 256-ФЗ; п. п. 4, 5, 19 Правил, утв. Постановлением Правительства РФ от 12.12.2007 N 862).</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Отказ от направления средств материнского капитала на формирование накопительной пенсии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Женщины, выбравшие направление средств материнского капитала на формирование накопительной пенсии, до дня ее назначения вправе отказаться от использования средств по указанному направлению (п. 3 ч. 3 ст. 7, ч. 2 ст. 12 Закона N 256-ФЗ; п. п. 1, 3 ч. 1 ст. 3 Закона от 28.12.2013 N 424-ФЗ).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Заявление об отказе от направления средств материнского капитала на формирование накопительной пенсии может быть подано в ПФР в любое время по истечении трех лет со дня рождения (усыновления) ребенка, в связи с рождением (усыновлением) которого возникло право на материнский капитал (ч. 6 ст. 7, ч. 3 ст. 12 Закона N 256-ФЗ;</w:t>
      </w:r>
      <w:proofErr w:type="gramEnd"/>
      <w:r w:rsidRPr="005D54EC">
        <w:rPr>
          <w:rFonts w:ascii="Times New Roman" w:hAnsi="Times New Roman"/>
          <w:sz w:val="28"/>
          <w:szCs w:val="28"/>
          <w:lang w:eastAsia="ru-RU"/>
        </w:rPr>
        <w:t xml:space="preserve"> п. п. 3, 4 Правил, утв. Приказом Минтруда России от 11.03.2016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После проверки факта назначения (отсутствия факта назначения) накопительной пенсии ПФР направляет в негосударственный пенсионный фонд (НПФ) или в управляющую компанию следующие документы, необходимые для осуществления отзыва средств материнского капитала (п. п. 12, 13 Правил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в НПФ: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уведомление о передаче средств материнского капитала;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запрос сведений о размере средств материнского капитала, учтенных на пенсионном счете накопительной пенсии женщины, и дохода от их инвестирования, если женщина указала необходимость в определении суммы средств материнского капитала, включая доход от их инвестирования;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в управляющую компанию (если заявительница формирует накопительную пенсию через ПФР) - уведомление (требование) о перечислении средств пенсионных накоплений в ПФР с указанием сведений о сумме средств материнского капитала, учтенной в специальной части индивидуального лицевого счета женщины.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НПФ возвращает средства материнского капитала в течение 30 календарных дней, управляющая компания - в течение пяти рабочих дней со дня получения соответствующего уведомления (п. п. 14, 15 Правил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По общему правилу женщины вправе в течение шести месяцев </w:t>
      </w:r>
      <w:proofErr w:type="gramStart"/>
      <w:r w:rsidRPr="005D54EC">
        <w:rPr>
          <w:rFonts w:ascii="Times New Roman" w:hAnsi="Times New Roman"/>
          <w:sz w:val="28"/>
          <w:szCs w:val="28"/>
          <w:lang w:eastAsia="ru-RU"/>
        </w:rPr>
        <w:t>с даты направления</w:t>
      </w:r>
      <w:proofErr w:type="gramEnd"/>
      <w:r w:rsidRPr="005D54EC">
        <w:rPr>
          <w:rFonts w:ascii="Times New Roman" w:hAnsi="Times New Roman"/>
          <w:sz w:val="28"/>
          <w:szCs w:val="28"/>
          <w:lang w:eastAsia="ru-RU"/>
        </w:rPr>
        <w:t xml:space="preserve"> им информации о поступлении возвращенных средств на счет ПФР обратиться с заявлением о распоряжении средствами материнского капитала по иному направлению (направлениям). Для женщин, отказавшихся от использования средств материнского капитала на формирование накопительной пенсии до 19.12.2020, течение указанного срока начинается с 19.12.2020.</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Если такое заявление в установленный срок не подано, средства материнского капитала считаются направленными на финансирование накопительной пенсии. ПФР обеспечивает перевод средств материнского капитала в тот же НПФ (управляющую компанию), в котором средства пенсионных накоплений формируются (формировались) в пользу женщины (ч. 2.1, 2.2 ст. 12 Закона N 256-ФЗ; ст. 4 Закона от 08.12.2020 N 409-ФЗ; п. п. 3, 22.1 Правил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Признание сделки купли-продажи жилого помещения недействительной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Если средства материнского капитала были направлены на приобретение жилого помещения и впоследствии соответствующая сделка купли-продажи была признана судом недействительной, использованные средства материнского капитала должны быть возвращены в ПФР (п. 2 ст. 167 ГК РФ; п. 1 Обзора, утв. Президиумом Верховного Суда РФ 05.02.2014).</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14B22" w:rsidRPr="005D54EC" w:rsidRDefault="00514B22"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14B22">
      <w:pPr>
        <w:widowControl w:val="0"/>
        <w:autoSpaceDE w:val="0"/>
        <w:autoSpaceDN w:val="0"/>
        <w:spacing w:after="0" w:line="240" w:lineRule="auto"/>
        <w:contextualSpacing/>
        <w:jc w:val="center"/>
        <w:rPr>
          <w:rFonts w:ascii="Times New Roman" w:hAnsi="Times New Roman"/>
          <w:sz w:val="28"/>
          <w:szCs w:val="28"/>
          <w:lang w:eastAsia="ru-RU"/>
        </w:rPr>
      </w:pPr>
      <w:r w:rsidRPr="005D54EC">
        <w:rPr>
          <w:rFonts w:ascii="Times New Roman" w:hAnsi="Times New Roman"/>
          <w:sz w:val="28"/>
          <w:szCs w:val="28"/>
          <w:lang w:eastAsia="ru-RU"/>
        </w:rPr>
        <w:t>Право  медицинских организаций на  разглашение информации о наличии у п</w:t>
      </w:r>
      <w:r w:rsidR="00514B22">
        <w:rPr>
          <w:rFonts w:ascii="Times New Roman" w:hAnsi="Times New Roman"/>
          <w:sz w:val="28"/>
          <w:szCs w:val="28"/>
          <w:lang w:eastAsia="ru-RU"/>
        </w:rPr>
        <w:t xml:space="preserve">ациентов </w:t>
      </w:r>
      <w:proofErr w:type="spellStart"/>
      <w:r w:rsidR="00514B22">
        <w:rPr>
          <w:rFonts w:ascii="Times New Roman" w:hAnsi="Times New Roman"/>
          <w:sz w:val="28"/>
          <w:szCs w:val="28"/>
          <w:lang w:eastAsia="ru-RU"/>
        </w:rPr>
        <w:t>коронавирусной</w:t>
      </w:r>
      <w:proofErr w:type="spellEnd"/>
      <w:r w:rsidR="00514B22">
        <w:rPr>
          <w:rFonts w:ascii="Times New Roman" w:hAnsi="Times New Roman"/>
          <w:sz w:val="28"/>
          <w:szCs w:val="28"/>
          <w:lang w:eastAsia="ru-RU"/>
        </w:rPr>
        <w:t xml:space="preserve"> инфекции</w:t>
      </w:r>
    </w:p>
    <w:p w:rsidR="00514B22" w:rsidRPr="005D54EC" w:rsidRDefault="00514B22" w:rsidP="00514B22">
      <w:pPr>
        <w:widowControl w:val="0"/>
        <w:autoSpaceDE w:val="0"/>
        <w:autoSpaceDN w:val="0"/>
        <w:spacing w:after="0" w:line="240" w:lineRule="auto"/>
        <w:contextualSpacing/>
        <w:jc w:val="center"/>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ab/>
        <w:t>При отсутствии согласия пациента информация о наличии у него коронавирусной инфекции может быть предоставлена медицинской организацией только в установленных случаях, в частности при угрозе распространения инфекционного заболевания.</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(ч. 1 ст. 13 Закона от 21.11.2011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Медицинские организации обязаны соблюдать врачебную тайну, в том числе конфиденциальность персональных данных, используемых в медицинских информационных системах. Обработка персональных данных в информационных системах в сфере здравоохранения также осуществляется с соблюдением врачебной тайны (п. 4 ч. 1 ст. 79, ч. 2 ст. 91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Сведения о вакцинации от COVID-19, а также о том, что гражданин перенес COVID-19 и с даты его выздоровления прошло не более 12 календарных месяцев, относятся к сведениям, составляющим врачебную тайну (п. 5.3.1 Порядка, утв. Распоряжением Департамента информационных технологий </w:t>
      </w:r>
      <w:proofErr w:type="gramStart"/>
      <w:r w:rsidRPr="005D54EC">
        <w:rPr>
          <w:rFonts w:ascii="Times New Roman" w:hAnsi="Times New Roman"/>
          <w:sz w:val="28"/>
          <w:szCs w:val="28"/>
          <w:lang w:eastAsia="ru-RU"/>
        </w:rPr>
        <w:t>г</w:t>
      </w:r>
      <w:proofErr w:type="gramEnd"/>
      <w:r w:rsidRPr="005D54EC">
        <w:rPr>
          <w:rFonts w:ascii="Times New Roman" w:hAnsi="Times New Roman"/>
          <w:sz w:val="28"/>
          <w:szCs w:val="28"/>
          <w:lang w:eastAsia="ru-RU"/>
        </w:rPr>
        <w:t>. Москвы от 01.11.2021 N 64-16-591/21).</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Предоставление информации с согласия пациента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 общему правилу разглашение сведений, составляющих врачебную тайну, в том числе после смерти человека, запрещено (ч. 2 ст. 13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Разглашение таких сведений другим гражданам, в том числе должностным лицам, допускается, в частности,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только с письменного согласия гражданина или его законного представителя. Согласие на их разглашение может быть выражено также в информированном добровольном согласии на медицинское вмешательство (ч. 3 ст. 13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Изложенные требования действуют также в отношении информации о наличии у пациента коронавирусной инфекции (COVID-19).</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 xml:space="preserve">При наличии согласия пациента (его законного представителя) организации, осуществляющие исследования на наличие возбудителя COVID-19 методом ПЦР, на наличие антител (в том числе после вакцинации), должны обеспечить передачу, в частности, следующих сведений о результатах таких исследований в ФБУ науки "Центральный научно-исследовательский институт эпидемиологии" </w:t>
      </w:r>
      <w:proofErr w:type="spellStart"/>
      <w:r w:rsidRPr="005D54EC">
        <w:rPr>
          <w:rFonts w:ascii="Times New Roman" w:hAnsi="Times New Roman"/>
          <w:sz w:val="28"/>
          <w:szCs w:val="28"/>
          <w:lang w:eastAsia="ru-RU"/>
        </w:rPr>
        <w:t>Роспотребнадзора</w:t>
      </w:r>
      <w:proofErr w:type="spellEnd"/>
      <w:r w:rsidRPr="005D54EC">
        <w:rPr>
          <w:rFonts w:ascii="Times New Roman" w:hAnsi="Times New Roman"/>
          <w:sz w:val="28"/>
          <w:szCs w:val="28"/>
          <w:lang w:eastAsia="ru-RU"/>
        </w:rPr>
        <w:t xml:space="preserve"> (п. 2 Постановления Правительства РФ от 27.03.2021 N 452):</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Ф.И.О. (отчество - при наличии) пациента, СНИЛС, серия и номер документа, удостоверяющего его личность;</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дата забора биоматериала;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дата проведения исследования;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результат исследования.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Предоставление информации без согласия пациента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Вместе с тем законодательством установлены случаи, при которых возможно предоставление сведений, составляющих врачебную тайну, без </w:t>
      </w:r>
      <w:r w:rsidRPr="005D54EC">
        <w:rPr>
          <w:rFonts w:ascii="Times New Roman" w:hAnsi="Times New Roman"/>
          <w:sz w:val="28"/>
          <w:szCs w:val="28"/>
          <w:lang w:eastAsia="ru-RU"/>
        </w:rPr>
        <w:lastRenderedPageBreak/>
        <w:t>согласия гражданина (его законного представителя). К таким случаям, в частности, относятся (ч. 4 ст. 13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проведение медицинского обследования и лечения гражданина, который в результате своего состояния не способен выразить свою волю;</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угроза распространения инфекционных заболеваний;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3)</w:t>
      </w:r>
      <w:r w:rsidRPr="005D54EC">
        <w:rPr>
          <w:rFonts w:ascii="Times New Roman" w:hAnsi="Times New Roman"/>
          <w:sz w:val="28"/>
          <w:szCs w:val="28"/>
          <w:lang w:eastAsia="ru-RU"/>
        </w:rPr>
        <w:tab/>
        <w:t>наличие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4)</w:t>
      </w:r>
      <w:r w:rsidRPr="005D54EC">
        <w:rPr>
          <w:rFonts w:ascii="Times New Roman" w:hAnsi="Times New Roman"/>
          <w:sz w:val="28"/>
          <w:szCs w:val="28"/>
          <w:lang w:eastAsia="ru-RU"/>
        </w:rPr>
        <w:tab/>
        <w:t>информирование органов внутренних дел, в частности, о поступлении пациента, который по состоянию здоровья, возрасту или иным причинам не может сообщить данные о своей личности, либо о смерти пациента, личность которого не установлена;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5)</w:t>
      </w:r>
      <w:r w:rsidRPr="005D54EC">
        <w:rPr>
          <w:rFonts w:ascii="Times New Roman" w:hAnsi="Times New Roman"/>
          <w:sz w:val="28"/>
          <w:szCs w:val="28"/>
          <w:lang w:eastAsia="ru-RU"/>
        </w:rPr>
        <w:tab/>
        <w:t>обмен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6)</w:t>
      </w:r>
      <w:r w:rsidRPr="005D54EC">
        <w:rPr>
          <w:rFonts w:ascii="Times New Roman" w:hAnsi="Times New Roman"/>
          <w:sz w:val="28"/>
          <w:szCs w:val="28"/>
          <w:lang w:eastAsia="ru-RU"/>
        </w:rPr>
        <w:tab/>
        <w:t>осуществление учета и контроля в системе обязательного социального страхования.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(ч. 3 ст. 22 Закона N 323-ФЗ).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В случае смерти пациента его медицинские документы (их копии), выписки из них могут получить супруга (супруг) умершего, близкие родственники либо иные лица, указанные пациентом (его законным представителем) в письменном согласии на разглашение сведений, составляющих врачебную тайну, или в информированном добровольном согласии на медицинское вмешательство, если пациент (его законный представитель) не запретил разглашение сведений, составляющих врачебную тайну (ч. 7 ст. 20</w:t>
      </w:r>
      <w:proofErr w:type="gramEnd"/>
      <w:r w:rsidRPr="005D54EC">
        <w:rPr>
          <w:rFonts w:ascii="Times New Roman" w:hAnsi="Times New Roman"/>
          <w:sz w:val="28"/>
          <w:szCs w:val="28"/>
          <w:lang w:eastAsia="ru-RU"/>
        </w:rPr>
        <w:t>, ч. 5 ст. 22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Разглашение информации о наличии у пациента коронавирусной инфекции также возможно при 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сестрам, внукам, дедушкам, бабушкам), а при их отсутствии - иным родственникам либо законному представителю умершего, уполномоченным органам по их требованию (ч. 5 ст. 67 Закона N 323-ФЗ).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За нарушение медицинской организацией врачебной тайны предусмотрена гражданско-правовая ответственность (ст. ст. 15, 150, 151, 1064, 1068, 1099, 1101 ГК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Использование полиграфа работодателем в отношении работников.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Работодатель в большинстве случаев вправе использовать полиграф в отношении работника (кандидата), но только с его письменного согласия и при соблюдении определенных ограничений, в частности тематики задаваемых вопросов.</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Полиграф (детектор лжи) - это прибор, предназначенный для регистрации с помощью датчиков физиологических процессов, связанных с возникновением эмоций, изменением дыхания, кровяного давления, биотоков мозга, сердца, кожи, мускулатуры и т.д.</w:t>
      </w:r>
      <w:proofErr w:type="gramEnd"/>
      <w:r w:rsidRPr="005D54EC">
        <w:rPr>
          <w:rFonts w:ascii="Times New Roman" w:hAnsi="Times New Roman"/>
          <w:sz w:val="28"/>
          <w:szCs w:val="28"/>
          <w:lang w:eastAsia="ru-RU"/>
        </w:rPr>
        <w:t xml:space="preserve"> Полиграф регистрирует эмоциональное состояние испытуемого при воздействии на него вербальных и невербальных раздражителей и дает оценку его стрессового состояния. Стресс, вызываемый страхом, беспокойством, виной или конфликтом, облегчает выявление преднамеренного обмана во время беседы.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Условия для проведения проверки на полиграфе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Применение полиграфа в деятельности работодателей законодательно не регламентировано. При этом законодательство РФ не запрещает работодателю использовать полиграф для проверки кандидатов и действующих работников с целью получения в ходе такой проверки ответов на вопросы, касающиеся лояльности работника к работодателю, а также деловых и профессиональных качеств работника.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Работодатель может проверить кандидата или работника на полиграфе при определенных условиях. Главным из них является письменное согласие гражданина на проведение психофизиологической экспертизы, каковой является проверка на полиграфе, поскольку никто не может быть без добровольного согласия подвергнут медицинским, научным или иным опытам (</w:t>
      </w:r>
      <w:proofErr w:type="gramStart"/>
      <w:r w:rsidRPr="005D54EC">
        <w:rPr>
          <w:rFonts w:ascii="Times New Roman" w:hAnsi="Times New Roman"/>
          <w:sz w:val="28"/>
          <w:szCs w:val="28"/>
          <w:lang w:eastAsia="ru-RU"/>
        </w:rPr>
        <w:t>ч</w:t>
      </w:r>
      <w:proofErr w:type="gramEnd"/>
      <w:r w:rsidRPr="005D54EC">
        <w:rPr>
          <w:rFonts w:ascii="Times New Roman" w:hAnsi="Times New Roman"/>
          <w:sz w:val="28"/>
          <w:szCs w:val="28"/>
          <w:lang w:eastAsia="ru-RU"/>
        </w:rPr>
        <w:t>. 2 ст. 21 Конституции РФ). Получить письменное согласие испытуемого работодатель должен до проведения проверки.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Согласие на проведение психофизиологической экспертизы обязательно должно содержать:</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разъяснение о праве выбора гражданина дать согласие на экспертизу или отказаться от нее;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перечень вопросов, по которым будет проводиться психофизиологическая экспертиза;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разъяснение о праве гражданина в любой момент отказаться от экспертизы;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обязательство работодателя использовать результаты экспертизы только для целей рассмотрения возможности приема кандидата на работу или соответствия работника занимаемой должности.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Еще одно ограничение связано с задаваемыми в процессе проверки вопросами. </w:t>
      </w:r>
      <w:proofErr w:type="gramStart"/>
      <w:r w:rsidRPr="005D54EC">
        <w:rPr>
          <w:rFonts w:ascii="Times New Roman" w:hAnsi="Times New Roman"/>
          <w:sz w:val="28"/>
          <w:szCs w:val="28"/>
          <w:lang w:eastAsia="ru-RU"/>
        </w:rPr>
        <w:t>В перечень вопросов при проверке на полиграфе не могут быть включены вопросы, касающиеся расовой, национальной принадлежности, политических взглядов, религиозных или философских убеждений, состояния здоровья, интимной жизни, если гражданин не дал на это письменного согласия (п. 4 ст. 86 ТК РФ; ч. 1, п. 1 ч. 2 ст. 10 Закона от 27.07.2006 N 152-ФЗ).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Информация, полученная в результате проверки на полиграфе, относится к персональным данным гражданина (п. 1 ст. 3 Закона от 27.07.2006 N 152-ФЗ).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Не следует проверять на полиграфе беременных женщин, несовершеннолетних детей, лиц с психическим расстройством или психическим истощением, с </w:t>
      </w:r>
      <w:proofErr w:type="spellStart"/>
      <w:proofErr w:type="gramStart"/>
      <w:r w:rsidRPr="005D54EC">
        <w:rPr>
          <w:rFonts w:ascii="Times New Roman" w:hAnsi="Times New Roman"/>
          <w:sz w:val="28"/>
          <w:szCs w:val="28"/>
          <w:lang w:eastAsia="ru-RU"/>
        </w:rPr>
        <w:t>сердечно-сосудистыми</w:t>
      </w:r>
      <w:proofErr w:type="spellEnd"/>
      <w:proofErr w:type="gramEnd"/>
      <w:r w:rsidRPr="005D54EC">
        <w:rPr>
          <w:rFonts w:ascii="Times New Roman" w:hAnsi="Times New Roman"/>
          <w:sz w:val="28"/>
          <w:szCs w:val="28"/>
          <w:lang w:eastAsia="ru-RU"/>
        </w:rPr>
        <w:t xml:space="preserve"> заболеваниями или заболеваниями дыхательных органов, а также находящихся в алкогольном или наркотическом опьянении.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Последствия отказа от обследования на полиграфе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Отказ от проверки на полиграфе по общему правилу не влечет для гражданина никаких последствий. То есть на основании отказа кандидата или работника пройти проверку на полиграфе работодатель не может соответственно отказать в приеме на работу или применить меры взыскания к работнику. Любые действия, которые работодатель совершает на основании лишь одного отказа работника пройти проверку на полиграфе, могут быть этим работником обжалованы (например, как незаконный отказ в приеме на работу, как дискриминация в отношении работника со стороны работодателя).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Если кандидат подозревает, что работодатель отказывает ему в приеме на работу в связи с отказом от проверки на полиграфе, он вправе направить работодателю письменное требование о сообщении ему причины отказа. Работодатель обязан сообщить причину отказа в письменной форме не позднее чем в течение семи рабочих дней со дня предъявления такого требования. Непредставление письменного отказа работодателя и сам отказ в заключени</w:t>
      </w:r>
      <w:proofErr w:type="gramStart"/>
      <w:r w:rsidRPr="005D54EC">
        <w:rPr>
          <w:rFonts w:ascii="Times New Roman" w:hAnsi="Times New Roman"/>
          <w:sz w:val="28"/>
          <w:szCs w:val="28"/>
          <w:lang w:eastAsia="ru-RU"/>
        </w:rPr>
        <w:t>и</w:t>
      </w:r>
      <w:proofErr w:type="gramEnd"/>
      <w:r w:rsidRPr="005D54EC">
        <w:rPr>
          <w:rFonts w:ascii="Times New Roman" w:hAnsi="Times New Roman"/>
          <w:sz w:val="28"/>
          <w:szCs w:val="28"/>
          <w:lang w:eastAsia="ru-RU"/>
        </w:rPr>
        <w:t xml:space="preserve"> трудового договора гражданин может обжаловать в суд общей юрисдикции (ч. 5, 6 ст. 64 ТК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За необоснованный отказ в принятии кандидата на работу работодатель может быть привлечен к административной ответственности (ч. 1, 2 ст. 5.27 </w:t>
      </w:r>
      <w:proofErr w:type="spellStart"/>
      <w:r w:rsidRPr="005D54EC">
        <w:rPr>
          <w:rFonts w:ascii="Times New Roman" w:hAnsi="Times New Roman"/>
          <w:sz w:val="28"/>
          <w:szCs w:val="28"/>
          <w:lang w:eastAsia="ru-RU"/>
        </w:rPr>
        <w:t>КоАП</w:t>
      </w:r>
      <w:proofErr w:type="spellEnd"/>
      <w:r w:rsidRPr="005D54EC">
        <w:rPr>
          <w:rFonts w:ascii="Times New Roman" w:hAnsi="Times New Roman"/>
          <w:sz w:val="28"/>
          <w:szCs w:val="28"/>
          <w:lang w:eastAsia="ru-RU"/>
        </w:rPr>
        <w:t xml:space="preserve">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 то же время результаты проверки на полиграфе в РФ имеют рекомендательное значение и не могут являться юридическим доказательством какого-либо факта. Например, если по результатам проверки на полиграфе выявлено, что работник совершил кражу, уволить его на основании этого неправомерно. </w:t>
      </w:r>
      <w:proofErr w:type="gramStart"/>
      <w:r w:rsidRPr="005D54EC">
        <w:rPr>
          <w:rFonts w:ascii="Times New Roman" w:hAnsi="Times New Roman"/>
          <w:sz w:val="28"/>
          <w:szCs w:val="28"/>
          <w:lang w:eastAsia="ru-RU"/>
        </w:rPr>
        <w:t>Уволить за совершение по месту работы хищения (в том числе мелкого) чужого имущества, растраты, умышленного его уничтожения или повреждения правомерно только на основании установления данных фактов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"г" п. 6 ст. 81 ТК РФ).</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Таким образом, работодатель вправе использовать полиграф, но только с письменного согласия кандидата или работника и при соблюдении определенных ограничений, в частности тематики задаваемых вопросов.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70303A" w:rsidRDefault="0070303A" w:rsidP="005D54EC">
      <w:pPr>
        <w:pStyle w:val="ConsPlusNormal"/>
        <w:contextualSpacing/>
        <w:jc w:val="center"/>
        <w:outlineLvl w:val="0"/>
        <w:rPr>
          <w:bCs/>
          <w:sz w:val="28"/>
          <w:szCs w:val="28"/>
        </w:rPr>
      </w:pPr>
    </w:p>
    <w:p w:rsidR="0070303A" w:rsidRDefault="0070303A" w:rsidP="005D54EC">
      <w:pPr>
        <w:pStyle w:val="ConsPlusNormal"/>
        <w:contextualSpacing/>
        <w:jc w:val="center"/>
        <w:outlineLvl w:val="0"/>
        <w:rPr>
          <w:bCs/>
          <w:sz w:val="28"/>
          <w:szCs w:val="28"/>
        </w:rPr>
      </w:pPr>
    </w:p>
    <w:p w:rsidR="00514B22" w:rsidRDefault="00514B22" w:rsidP="005D54EC">
      <w:pPr>
        <w:pStyle w:val="ConsPlusNormal"/>
        <w:contextualSpacing/>
        <w:jc w:val="center"/>
        <w:outlineLvl w:val="0"/>
        <w:rPr>
          <w:bCs/>
          <w:sz w:val="28"/>
          <w:szCs w:val="28"/>
        </w:rPr>
      </w:pPr>
    </w:p>
    <w:p w:rsidR="0070303A" w:rsidRDefault="0070303A" w:rsidP="00514B22">
      <w:pPr>
        <w:pStyle w:val="ConsPlusNormal"/>
        <w:contextualSpacing/>
        <w:outlineLvl w:val="0"/>
        <w:rPr>
          <w:bCs/>
          <w:sz w:val="28"/>
          <w:szCs w:val="28"/>
        </w:rPr>
      </w:pPr>
    </w:p>
    <w:p w:rsidR="005D54EC" w:rsidRPr="005D54EC" w:rsidRDefault="005D54EC" w:rsidP="005D54EC">
      <w:pPr>
        <w:pStyle w:val="ConsPlusNormal"/>
        <w:contextualSpacing/>
        <w:jc w:val="center"/>
        <w:outlineLvl w:val="0"/>
        <w:rPr>
          <w:sz w:val="28"/>
          <w:szCs w:val="28"/>
        </w:rPr>
      </w:pPr>
      <w:r w:rsidRPr="005D54EC">
        <w:rPr>
          <w:bCs/>
          <w:sz w:val="28"/>
          <w:szCs w:val="28"/>
        </w:rPr>
        <w:lastRenderedPageBreak/>
        <w:t>Право на отказ от вакцинации</w:t>
      </w:r>
    </w:p>
    <w:p w:rsidR="005D54EC" w:rsidRPr="005D54EC" w:rsidRDefault="005D54EC" w:rsidP="005D54EC">
      <w:pPr>
        <w:pStyle w:val="ConsPlusNormal"/>
        <w:contextualSpacing/>
        <w:jc w:val="both"/>
        <w:rPr>
          <w:sz w:val="28"/>
          <w:szCs w:val="28"/>
        </w:rPr>
      </w:pPr>
      <w:r w:rsidRPr="005D54EC">
        <w:rPr>
          <w:sz w:val="28"/>
          <w:szCs w:val="28"/>
        </w:rPr>
        <w:tab/>
        <w:t>Вакцинация (профилактическая прививка) является одним из видов медицинских вмешательств (п. 5 ч. 1 ст. 2 Закона от 21.11.2011 N 323-ФЗ; ст. 1 Закона от 17.09.1998 N 157-ФЗ).</w:t>
      </w:r>
    </w:p>
    <w:p w:rsidR="005D54EC" w:rsidRPr="005D54EC" w:rsidRDefault="005D54EC" w:rsidP="005D54EC">
      <w:pPr>
        <w:pStyle w:val="ConsPlusNormal"/>
        <w:contextualSpacing/>
        <w:jc w:val="both"/>
        <w:rPr>
          <w:sz w:val="28"/>
          <w:szCs w:val="28"/>
        </w:rPr>
      </w:pPr>
      <w:r w:rsidRPr="005D54EC">
        <w:rPr>
          <w:sz w:val="28"/>
          <w:szCs w:val="28"/>
        </w:rPr>
        <w:tab/>
        <w:t>Гражданин, один из родителей или иной законный представитель несовершеннолетнего в возрасте до 15 лет или больного наркоманией несовершеннолетнего в возрасте до 16 лет, законный представитель лица, признанного недееспособным, вправе отказаться от вакцинации (ч. 3 ст. 20 Закона N 323-ФЗ; п. 1 ст. 5, п. 2 ст. 11 Закона N 157-ФЗ).</w:t>
      </w:r>
    </w:p>
    <w:p w:rsidR="005D54EC" w:rsidRPr="005D54EC" w:rsidRDefault="005D54EC" w:rsidP="005D54EC">
      <w:pPr>
        <w:pStyle w:val="ConsPlusNormal"/>
        <w:contextualSpacing/>
        <w:jc w:val="both"/>
        <w:rPr>
          <w:sz w:val="28"/>
          <w:szCs w:val="28"/>
        </w:rPr>
      </w:pPr>
      <w:bookmarkStart w:id="0" w:name="Par10"/>
      <w:bookmarkEnd w:id="0"/>
      <w:r w:rsidRPr="005D54EC">
        <w:rPr>
          <w:sz w:val="28"/>
          <w:szCs w:val="28"/>
        </w:rPr>
        <w:tab/>
        <w:t>Отказ от проведения медицинского вмешательства, в частности профилактических прививок (в том числе против COVID-19), содержится в медицинской документации гражданина и оформляется в виде документа на бумажном носителе, подписанного гражданином, одним из родителей (иным законным представителем), медицинским работником, либо формируется в форме электронного документа. В свою очередь, электронный документ должен быть подписан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ЕСИА, а также медицинским работником с использованием усиленной квалифицированной электронной подписи.</w:t>
      </w:r>
    </w:p>
    <w:p w:rsidR="005D54EC" w:rsidRPr="005D54EC" w:rsidRDefault="005D54EC" w:rsidP="005D54EC">
      <w:pPr>
        <w:pStyle w:val="ConsPlusNormal"/>
        <w:contextualSpacing/>
        <w:jc w:val="both"/>
        <w:rPr>
          <w:sz w:val="28"/>
          <w:szCs w:val="28"/>
        </w:rPr>
      </w:pPr>
      <w:r w:rsidRPr="005D54EC">
        <w:rPr>
          <w:sz w:val="28"/>
          <w:szCs w:val="28"/>
        </w:rPr>
        <w:tab/>
        <w:t xml:space="preserve">При этом отказ от вакцинации одного из родителей (иного законного представителя) может быть в форме электронного документа при наличии в медицинской документации пациента сведений о его законном представителе (ч. 7 ст. 20 Закона N 323-ФЗ; п. п. 1, 3 ст. 5 Закона N 157-ФЗ; п. п. 72, 1666 </w:t>
      </w:r>
      <w:proofErr w:type="spellStart"/>
      <w:r w:rsidRPr="005D54EC">
        <w:rPr>
          <w:sz w:val="28"/>
          <w:szCs w:val="28"/>
        </w:rPr>
        <w:t>СанПиН</w:t>
      </w:r>
      <w:proofErr w:type="spellEnd"/>
      <w:r w:rsidRPr="005D54EC">
        <w:rPr>
          <w:sz w:val="28"/>
          <w:szCs w:val="28"/>
        </w:rPr>
        <w:t xml:space="preserve"> 3.3686-21, утв. Постановлением Главного государственного санитарного врача РФ от 28.01.2021 N 4; Письмо Минздрава России от 13.07.2015 N 24-2/3048428-1510).</w:t>
      </w:r>
    </w:p>
    <w:p w:rsidR="005D54EC" w:rsidRPr="005D54EC" w:rsidRDefault="005D54EC" w:rsidP="005D54EC">
      <w:pPr>
        <w:pStyle w:val="ConsPlusNormal"/>
        <w:contextualSpacing/>
        <w:jc w:val="both"/>
        <w:rPr>
          <w:sz w:val="28"/>
          <w:szCs w:val="28"/>
        </w:rPr>
      </w:pPr>
      <w:r w:rsidRPr="005D54EC">
        <w:rPr>
          <w:sz w:val="28"/>
          <w:szCs w:val="28"/>
        </w:rPr>
        <w:tab/>
        <w:t>При отказе от медицинского вмешательства гражданину, одному из родителей или иному законному представителю указанных выше лиц в доступной форме должны быть разъяснены возможные последствия такого отказа (ч. 4 ст. 20 Закона N 323-ФЗ; п. 1 ст. 5 Закона N 157-ФЗ).</w:t>
      </w:r>
    </w:p>
    <w:p w:rsidR="005D54EC" w:rsidRPr="005D54EC" w:rsidRDefault="005D54EC" w:rsidP="005D54EC">
      <w:pPr>
        <w:pStyle w:val="ConsPlusNormal"/>
        <w:contextualSpacing/>
        <w:jc w:val="both"/>
        <w:rPr>
          <w:sz w:val="28"/>
          <w:szCs w:val="28"/>
        </w:rPr>
      </w:pPr>
      <w:r w:rsidRPr="005D54EC">
        <w:rPr>
          <w:sz w:val="28"/>
          <w:szCs w:val="28"/>
        </w:rPr>
        <w:tab/>
        <w:t>Таким образом, недопустимо проведение принудительной вакцинации (в том числе против COVID-19 либо гриппа) в отношении, например, сотрудников - по инициативе работодателя или детей - по инициативе администрации образовательного учреждения, поскольку вакцинация требует добровольное информированное согласие пациента (его законного представителя) (п. 2 ст. 11 Закона N 157-ФЗ; п. 5.1 Клинических рекомендаций, утв. Минздравом России; п. 6 Приложения к Письму Минздрава России от 28.12.2020 N 1/и/1-9601; п. 6.2 разд. 6 Приложения к Письму Минздрава России от 30.10.2021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contextualSpacing/>
        <w:jc w:val="both"/>
        <w:rPr>
          <w:sz w:val="28"/>
          <w:szCs w:val="28"/>
        </w:rPr>
      </w:pPr>
      <w:r w:rsidRPr="005D54EC">
        <w:rPr>
          <w:sz w:val="28"/>
          <w:szCs w:val="28"/>
        </w:rPr>
        <w:tab/>
        <w:t>Вместе с тем при определенных обстоятельствах отказ от вакцинации может повлечь негативные последствия, в частности отстранение сотрудника от работы или отказ в приеме ребенка в детский сад.</w:t>
      </w:r>
    </w:p>
    <w:p w:rsidR="005D54EC" w:rsidRPr="005D54EC" w:rsidRDefault="005D54EC" w:rsidP="005D54EC">
      <w:pPr>
        <w:pStyle w:val="ConsPlusNormal"/>
        <w:contextualSpacing/>
        <w:jc w:val="both"/>
        <w:rPr>
          <w:sz w:val="28"/>
          <w:szCs w:val="28"/>
        </w:rPr>
      </w:pPr>
      <w:r w:rsidRPr="005D54EC">
        <w:rPr>
          <w:sz w:val="28"/>
          <w:szCs w:val="28"/>
        </w:rPr>
        <w:tab/>
      </w:r>
      <w:r w:rsidRPr="005D54EC">
        <w:rPr>
          <w:bCs/>
          <w:sz w:val="28"/>
          <w:szCs w:val="28"/>
        </w:rPr>
        <w:t>Последствия отказа от вакцинации, ответственность</w:t>
      </w:r>
    </w:p>
    <w:p w:rsidR="005D54EC" w:rsidRPr="005D54EC" w:rsidRDefault="005D54EC" w:rsidP="005D54EC">
      <w:pPr>
        <w:pStyle w:val="ConsPlusNormal"/>
        <w:contextualSpacing/>
        <w:jc w:val="both"/>
        <w:rPr>
          <w:sz w:val="28"/>
          <w:szCs w:val="28"/>
        </w:rPr>
      </w:pPr>
      <w:r w:rsidRPr="005D54EC">
        <w:rPr>
          <w:sz w:val="28"/>
          <w:szCs w:val="28"/>
        </w:rPr>
        <w:tab/>
        <w:t xml:space="preserve">Отсутствие профилактических прививок влечет, в частности (п. 2 ст. 5 </w:t>
      </w:r>
      <w:r w:rsidRPr="005D54EC">
        <w:rPr>
          <w:sz w:val="28"/>
          <w:szCs w:val="28"/>
        </w:rPr>
        <w:lastRenderedPageBreak/>
        <w:t>Закона N 157-ФЗ; Перечень, утв. Постановлением Правительства РФ от 15.07.1999 N 825):</w:t>
      </w:r>
    </w:p>
    <w:p w:rsidR="005D54EC" w:rsidRPr="005D54EC" w:rsidRDefault="005D54EC" w:rsidP="005D54EC">
      <w:pPr>
        <w:pStyle w:val="ConsPlusNormal"/>
        <w:ind w:left="313"/>
        <w:contextualSpacing/>
        <w:jc w:val="both"/>
        <w:rPr>
          <w:sz w:val="28"/>
          <w:szCs w:val="28"/>
        </w:rPr>
      </w:pPr>
      <w:r w:rsidRPr="005D54EC">
        <w:rPr>
          <w:sz w:val="28"/>
          <w:szCs w:val="28"/>
        </w:rPr>
        <w:t>1. запрет на вые</w:t>
      </w:r>
      <w:proofErr w:type="gramStart"/>
      <w:r w:rsidRPr="005D54EC">
        <w:rPr>
          <w:sz w:val="28"/>
          <w:szCs w:val="28"/>
        </w:rPr>
        <w:t>зд в стр</w:t>
      </w:r>
      <w:proofErr w:type="gramEnd"/>
      <w:r w:rsidRPr="005D54EC">
        <w:rPr>
          <w:sz w:val="28"/>
          <w:szCs w:val="28"/>
        </w:rPr>
        <w:t>аны, пребывание в которых, в соответствии с международными медико-санитарными правилами либо международными договорами РФ, требует конкретных профилактических прививок;</w:t>
      </w:r>
    </w:p>
    <w:p w:rsidR="005D54EC" w:rsidRPr="005D54EC" w:rsidRDefault="005D54EC" w:rsidP="005D54EC">
      <w:pPr>
        <w:pStyle w:val="ConsPlusNormal"/>
        <w:ind w:left="313"/>
        <w:contextualSpacing/>
        <w:jc w:val="both"/>
        <w:rPr>
          <w:sz w:val="28"/>
          <w:szCs w:val="28"/>
        </w:rPr>
      </w:pPr>
      <w:r w:rsidRPr="005D54EC">
        <w:rPr>
          <w:sz w:val="28"/>
          <w:szCs w:val="28"/>
        </w:rPr>
        <w:t>2. 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w:t>
      </w:r>
    </w:p>
    <w:p w:rsidR="005D54EC" w:rsidRPr="005D54EC" w:rsidRDefault="005D54EC" w:rsidP="005D54EC">
      <w:pPr>
        <w:pStyle w:val="ConsPlusNormal"/>
        <w:ind w:left="240"/>
        <w:contextualSpacing/>
        <w:jc w:val="both"/>
        <w:rPr>
          <w:sz w:val="28"/>
          <w:szCs w:val="28"/>
        </w:rPr>
      </w:pPr>
      <w:r w:rsidRPr="005D54EC">
        <w:rPr>
          <w:sz w:val="28"/>
          <w:szCs w:val="28"/>
        </w:rPr>
        <w:t>3. отказ в приеме граждан на работы или отстранение граждан от работ, выполнение которых связано с высоким риском заболевания инфекционными болезнями (в частности, в образовательных организациях).</w:t>
      </w:r>
    </w:p>
    <w:p w:rsidR="005D54EC" w:rsidRPr="005D54EC" w:rsidRDefault="005D54EC" w:rsidP="005D54EC">
      <w:pPr>
        <w:pStyle w:val="ConsPlusNormal"/>
        <w:contextualSpacing/>
        <w:jc w:val="both"/>
        <w:rPr>
          <w:sz w:val="28"/>
          <w:szCs w:val="28"/>
        </w:rPr>
      </w:pPr>
      <w:r w:rsidRPr="005D54EC">
        <w:rPr>
          <w:sz w:val="28"/>
          <w:szCs w:val="28"/>
        </w:rPr>
        <w:tab/>
        <w:t xml:space="preserve">При этом следует учесть, что прививка против коронавирусной инфекции, вызываемой вирусом SARS-CoV-2, в настоящее время входит в календарь профилактических прививок по эпидемическим показаниям и проводится в установленном порядке. До вынесения постановления главного санитарного врача или его заместителя о проведении соответствующих профилактических прививок гражданам или отдельным группам граждан отказ от вакцинации против коронавирусной инфекции (в том числе работников образовательных организаций) не может служить основанием отстранения сотрудника от работы. </w:t>
      </w:r>
      <w:proofErr w:type="gramStart"/>
      <w:r w:rsidRPr="005D54EC">
        <w:rPr>
          <w:sz w:val="28"/>
          <w:szCs w:val="28"/>
        </w:rPr>
        <w:t xml:space="preserve">После вынесения соответствующего постановления граждане могут отказаться от прививок, но в этом случае они должны быть отстранены от выполняемых работ на период </w:t>
      </w:r>
      <w:proofErr w:type="spellStart"/>
      <w:r w:rsidRPr="005D54EC">
        <w:rPr>
          <w:sz w:val="28"/>
          <w:szCs w:val="28"/>
        </w:rPr>
        <w:t>эпиднеблагополучия</w:t>
      </w:r>
      <w:proofErr w:type="spellEnd"/>
      <w:r w:rsidRPr="005D54EC">
        <w:rPr>
          <w:sz w:val="28"/>
          <w:szCs w:val="28"/>
        </w:rPr>
        <w:t>, если не имеют подтвержденных противопоказаний к вакцинации (</w:t>
      </w:r>
      <w:proofErr w:type="spellStart"/>
      <w:r w:rsidRPr="005D54EC">
        <w:rPr>
          <w:sz w:val="28"/>
          <w:szCs w:val="28"/>
        </w:rPr>
        <w:t>пп</w:t>
      </w:r>
      <w:proofErr w:type="spellEnd"/>
      <w:r w:rsidRPr="005D54EC">
        <w:rPr>
          <w:sz w:val="28"/>
          <w:szCs w:val="28"/>
        </w:rPr>
        <w:t>. 6 п. 1 ст. 51 Закона от 30.03.1999 N 52-ФЗ; Приложение N 2 к Приказу Минздрава России от 21.03.2014 N 125н;</w:t>
      </w:r>
      <w:proofErr w:type="gramEnd"/>
      <w:r w:rsidRPr="005D54EC">
        <w:rPr>
          <w:sz w:val="28"/>
          <w:szCs w:val="28"/>
        </w:rPr>
        <w:t xml:space="preserve"> Приложение к Письму Минздрава России N 30-4</w:t>
      </w:r>
      <w:proofErr w:type="gramStart"/>
      <w:r w:rsidRPr="005D54EC">
        <w:rPr>
          <w:sz w:val="28"/>
          <w:szCs w:val="28"/>
        </w:rPr>
        <w:t>/И</w:t>
      </w:r>
      <w:proofErr w:type="gramEnd"/>
      <w:r w:rsidRPr="005D54EC">
        <w:rPr>
          <w:sz w:val="28"/>
          <w:szCs w:val="28"/>
        </w:rPr>
        <w:t xml:space="preserve">/2-17927; Разъяснения Минтруда России, </w:t>
      </w:r>
      <w:proofErr w:type="spellStart"/>
      <w:r w:rsidRPr="005D54EC">
        <w:rPr>
          <w:sz w:val="28"/>
          <w:szCs w:val="28"/>
        </w:rPr>
        <w:t>Роспотребнадзора</w:t>
      </w:r>
      <w:proofErr w:type="spellEnd"/>
      <w:r w:rsidRPr="005D54EC">
        <w:rPr>
          <w:sz w:val="28"/>
          <w:szCs w:val="28"/>
        </w:rPr>
        <w:t>; Письмо Минтруда России от 04.03.2021 N 14-2/10/В-2314).</w:t>
      </w:r>
    </w:p>
    <w:p w:rsidR="005D54EC" w:rsidRPr="005D54EC" w:rsidRDefault="005D54EC" w:rsidP="005D54EC">
      <w:pPr>
        <w:pStyle w:val="ConsPlusNormal"/>
        <w:contextualSpacing/>
        <w:jc w:val="both"/>
        <w:rPr>
          <w:sz w:val="28"/>
          <w:szCs w:val="28"/>
        </w:rPr>
      </w:pPr>
      <w:r w:rsidRPr="005D54EC">
        <w:rPr>
          <w:sz w:val="28"/>
          <w:szCs w:val="28"/>
        </w:rPr>
        <w:tab/>
        <w:t>При этом требования об обязательной вакцинации против COVID-19 не распространяются на лиц, имеющих противопоказания к такой вакцинации, которые подтверждены медицинским заключением (</w:t>
      </w:r>
      <w:proofErr w:type="spellStart"/>
      <w:r w:rsidRPr="005D54EC">
        <w:rPr>
          <w:sz w:val="28"/>
          <w:szCs w:val="28"/>
        </w:rPr>
        <w:t>пп</w:t>
      </w:r>
      <w:proofErr w:type="spellEnd"/>
      <w:r w:rsidRPr="005D54EC">
        <w:rPr>
          <w:sz w:val="28"/>
          <w:szCs w:val="28"/>
        </w:rPr>
        <w:t xml:space="preserve">. 1.1 п. 1, </w:t>
      </w:r>
      <w:proofErr w:type="spellStart"/>
      <w:r w:rsidRPr="005D54EC">
        <w:rPr>
          <w:sz w:val="28"/>
          <w:szCs w:val="28"/>
        </w:rPr>
        <w:t>пп</w:t>
      </w:r>
      <w:proofErr w:type="spellEnd"/>
      <w:r w:rsidRPr="005D54EC">
        <w:rPr>
          <w:sz w:val="28"/>
          <w:szCs w:val="28"/>
        </w:rPr>
        <w:t>. 2.1 п. 2, п. 3 Постановления Главного государственного санитарного врача по г. Москве от 19.10.2021 N 3; п. 2.12 разд. 2 Приложения к Письму Минздрава России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contextualSpacing/>
        <w:jc w:val="both"/>
        <w:rPr>
          <w:sz w:val="28"/>
          <w:szCs w:val="28"/>
        </w:rPr>
      </w:pPr>
      <w:r w:rsidRPr="005D54EC">
        <w:rPr>
          <w:sz w:val="28"/>
          <w:szCs w:val="28"/>
        </w:rPr>
        <w:tab/>
        <w:t>За отказ гражданина от вакцинации против COVID-19 ответственность, в том числе наложение штрафа, законодательством РФ не предусмотрена. В частности, отказ военнослужащего от проведения профилактических прививок в настоящее время не является основанием для привлечения его к дисциплинарной ответственности (Письмо Минобороны России от 15.03.2021 N 161/7/П-826).</w:t>
      </w:r>
    </w:p>
    <w:p w:rsidR="005D54EC" w:rsidRPr="005D54EC" w:rsidRDefault="005D54EC" w:rsidP="005D54EC">
      <w:pPr>
        <w:pStyle w:val="ConsPlusNormal"/>
        <w:contextualSpacing/>
        <w:jc w:val="both"/>
        <w:rPr>
          <w:sz w:val="28"/>
          <w:szCs w:val="28"/>
        </w:rPr>
      </w:pPr>
      <w:r w:rsidRPr="005D54EC">
        <w:rPr>
          <w:sz w:val="28"/>
          <w:szCs w:val="28"/>
        </w:rPr>
        <w:tab/>
        <w:t>Специальный порядок отказа от вакцинации против COVID-19 законодательством не установлен.</w:t>
      </w:r>
    </w:p>
    <w:p w:rsidR="005D54EC" w:rsidRPr="005D54EC" w:rsidRDefault="005D54EC" w:rsidP="005D54EC">
      <w:pPr>
        <w:pStyle w:val="ConsPlusNormal"/>
        <w:contextualSpacing/>
        <w:jc w:val="both"/>
        <w:rPr>
          <w:sz w:val="28"/>
          <w:szCs w:val="28"/>
        </w:rPr>
      </w:pPr>
      <w:r w:rsidRPr="005D54EC">
        <w:rPr>
          <w:sz w:val="28"/>
          <w:szCs w:val="28"/>
        </w:rPr>
        <w:tab/>
      </w:r>
      <w:proofErr w:type="gramStart"/>
      <w:r w:rsidRPr="005D54EC">
        <w:rPr>
          <w:sz w:val="28"/>
          <w:szCs w:val="28"/>
        </w:rPr>
        <w:t xml:space="preserve">Следует учесть, что медицинская организация вправе обратиться в суд с административным исковым заявлением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(ч. 5 ст. 20 Закона N 323-ФЗ; </w:t>
      </w:r>
      <w:r w:rsidRPr="005D54EC">
        <w:rPr>
          <w:sz w:val="28"/>
          <w:szCs w:val="28"/>
        </w:rPr>
        <w:lastRenderedPageBreak/>
        <w:t>п. 9 ч. 3 ст. 1, ч. 5 ст. 23, ч. 1 ст. 285.1 КАС РФ).</w:t>
      </w:r>
      <w:proofErr w:type="gramEnd"/>
    </w:p>
    <w:p w:rsidR="005D54EC" w:rsidRPr="005D54EC" w:rsidRDefault="005D54EC" w:rsidP="005D54EC">
      <w:pPr>
        <w:pStyle w:val="ConsPlusNormal"/>
        <w:contextualSpacing/>
        <w:jc w:val="both"/>
        <w:rPr>
          <w:sz w:val="28"/>
          <w:szCs w:val="28"/>
        </w:rPr>
      </w:pPr>
      <w:r w:rsidRPr="005D54EC">
        <w:rPr>
          <w:sz w:val="28"/>
          <w:szCs w:val="28"/>
        </w:rPr>
        <w:tab/>
      </w:r>
      <w:r w:rsidRPr="005D54EC">
        <w:rPr>
          <w:bCs/>
          <w:sz w:val="28"/>
          <w:szCs w:val="28"/>
        </w:rPr>
        <w:t>Противопоказания для вакцинации</w:t>
      </w:r>
    </w:p>
    <w:p w:rsidR="005D54EC" w:rsidRPr="005D54EC" w:rsidRDefault="005D54EC" w:rsidP="005D54EC">
      <w:pPr>
        <w:pStyle w:val="ConsPlusNormal"/>
        <w:contextualSpacing/>
        <w:jc w:val="both"/>
        <w:rPr>
          <w:sz w:val="28"/>
          <w:szCs w:val="28"/>
        </w:rPr>
      </w:pPr>
      <w:r w:rsidRPr="005D54EC">
        <w:rPr>
          <w:sz w:val="28"/>
          <w:szCs w:val="28"/>
        </w:rPr>
        <w:tab/>
        <w:t>В список противопоказаний к вакцинации в общем случае включены следующие состояния (п. 3.1 МУ 3.3.1.1095-02, утв. Главным государственным санитарным врачом РФ 09.01.2002):</w:t>
      </w:r>
    </w:p>
    <w:p w:rsidR="005D54EC" w:rsidRPr="005D54EC" w:rsidRDefault="005D54EC" w:rsidP="005D54EC">
      <w:pPr>
        <w:pStyle w:val="ConsPlusNormal"/>
        <w:contextualSpacing/>
        <w:jc w:val="both"/>
        <w:rPr>
          <w:sz w:val="28"/>
          <w:szCs w:val="28"/>
        </w:rPr>
      </w:pPr>
    </w:p>
    <w:tbl>
      <w:tblPr>
        <w:tblW w:w="0" w:type="auto"/>
        <w:tblLayout w:type="fixed"/>
        <w:tblCellMar>
          <w:top w:w="102" w:type="dxa"/>
          <w:left w:w="62" w:type="dxa"/>
          <w:bottom w:w="102" w:type="dxa"/>
          <w:right w:w="62" w:type="dxa"/>
        </w:tblCellMar>
        <w:tblLook w:val="0000"/>
      </w:tblPr>
      <w:tblGrid>
        <w:gridCol w:w="992"/>
        <w:gridCol w:w="3572"/>
        <w:gridCol w:w="4479"/>
      </w:tblGrid>
      <w:tr w:rsidR="005D54EC" w:rsidRPr="005D54EC" w:rsidTr="00984CFD">
        <w:tc>
          <w:tcPr>
            <w:tcW w:w="992" w:type="dxa"/>
            <w:tcBorders>
              <w:top w:val="single" w:sz="4" w:space="0" w:color="auto"/>
              <w:left w:val="single" w:sz="4" w:space="0" w:color="auto"/>
              <w:bottom w:val="single" w:sz="4" w:space="0" w:color="auto"/>
              <w:right w:val="single" w:sz="4" w:space="0" w:color="auto"/>
            </w:tcBorders>
            <w:vAlign w:val="center"/>
          </w:tcPr>
          <w:p w:rsidR="005D54EC" w:rsidRPr="005D54EC" w:rsidRDefault="005D54EC" w:rsidP="005D54EC">
            <w:pPr>
              <w:pStyle w:val="ConsPlusNormal"/>
              <w:contextualSpacing/>
              <w:jc w:val="center"/>
              <w:rPr>
                <w:sz w:val="28"/>
                <w:szCs w:val="28"/>
              </w:rPr>
            </w:pPr>
            <w:r w:rsidRPr="005D54EC">
              <w:rPr>
                <w:sz w:val="28"/>
                <w:szCs w:val="28"/>
              </w:rPr>
              <w:t>Пункт</w:t>
            </w:r>
          </w:p>
        </w:tc>
        <w:tc>
          <w:tcPr>
            <w:tcW w:w="3572" w:type="dxa"/>
            <w:tcBorders>
              <w:top w:val="single" w:sz="4" w:space="0" w:color="auto"/>
              <w:left w:val="single" w:sz="4" w:space="0" w:color="auto"/>
              <w:bottom w:val="single" w:sz="4" w:space="0" w:color="auto"/>
              <w:right w:val="single" w:sz="4" w:space="0" w:color="auto"/>
            </w:tcBorders>
            <w:vAlign w:val="center"/>
          </w:tcPr>
          <w:p w:rsidR="005D54EC" w:rsidRPr="005D54EC" w:rsidRDefault="005D54EC" w:rsidP="005D54EC">
            <w:pPr>
              <w:pStyle w:val="ConsPlusNormal"/>
              <w:contextualSpacing/>
              <w:jc w:val="center"/>
              <w:rPr>
                <w:sz w:val="28"/>
                <w:szCs w:val="28"/>
              </w:rPr>
            </w:pPr>
            <w:r w:rsidRPr="005D54EC">
              <w:rPr>
                <w:sz w:val="28"/>
                <w:szCs w:val="28"/>
              </w:rPr>
              <w:t>Вакцина</w:t>
            </w:r>
          </w:p>
        </w:tc>
        <w:tc>
          <w:tcPr>
            <w:tcW w:w="4479" w:type="dxa"/>
            <w:tcBorders>
              <w:top w:val="single" w:sz="4" w:space="0" w:color="auto"/>
              <w:left w:val="single" w:sz="4" w:space="0" w:color="auto"/>
              <w:bottom w:val="single" w:sz="4" w:space="0" w:color="auto"/>
              <w:right w:val="single" w:sz="4" w:space="0" w:color="auto"/>
            </w:tcBorders>
            <w:vAlign w:val="center"/>
          </w:tcPr>
          <w:p w:rsidR="005D54EC" w:rsidRPr="005D54EC" w:rsidRDefault="005D54EC" w:rsidP="005D54EC">
            <w:pPr>
              <w:pStyle w:val="ConsPlusNormal"/>
              <w:contextualSpacing/>
              <w:jc w:val="center"/>
              <w:rPr>
                <w:sz w:val="28"/>
                <w:szCs w:val="28"/>
              </w:rPr>
            </w:pPr>
            <w:r w:rsidRPr="005D54EC">
              <w:rPr>
                <w:sz w:val="28"/>
                <w:szCs w:val="28"/>
              </w:rPr>
              <w:t>Противопоказания</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bookmarkStart w:id="1" w:name="Par40"/>
            <w:bookmarkEnd w:id="1"/>
            <w:r w:rsidRPr="005D54EC">
              <w:rPr>
                <w:sz w:val="28"/>
                <w:szCs w:val="28"/>
              </w:rPr>
              <w:t>1</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Все вакцины</w:t>
            </w:r>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Сильная реакция или </w:t>
            </w:r>
            <w:proofErr w:type="spellStart"/>
            <w:r w:rsidRPr="005D54EC">
              <w:rPr>
                <w:sz w:val="28"/>
                <w:szCs w:val="28"/>
              </w:rPr>
              <w:t>поствакцинальное</w:t>
            </w:r>
            <w:proofErr w:type="spellEnd"/>
            <w:r w:rsidRPr="005D54EC">
              <w:rPr>
                <w:sz w:val="28"/>
                <w:szCs w:val="28"/>
              </w:rPr>
              <w:t xml:space="preserve"> осложнение на предыдущее введение</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bookmarkStart w:id="2" w:name="Par43"/>
            <w:bookmarkEnd w:id="2"/>
            <w:r w:rsidRPr="005D54EC">
              <w:rPr>
                <w:sz w:val="28"/>
                <w:szCs w:val="28"/>
              </w:rPr>
              <w:t>2</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Все живые вакцины, в том числе оральная живая полиомиелитная вакцина (ОПВ)</w:t>
            </w:r>
          </w:p>
        </w:tc>
        <w:tc>
          <w:tcPr>
            <w:tcW w:w="4479" w:type="dxa"/>
            <w:vMerge w:val="restart"/>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proofErr w:type="spellStart"/>
            <w:r w:rsidRPr="005D54EC">
              <w:rPr>
                <w:sz w:val="28"/>
                <w:szCs w:val="28"/>
              </w:rPr>
              <w:t>Иммунодефицитное</w:t>
            </w:r>
            <w:proofErr w:type="spellEnd"/>
            <w:r w:rsidRPr="005D54EC">
              <w:rPr>
                <w:sz w:val="28"/>
                <w:szCs w:val="28"/>
              </w:rPr>
              <w:t xml:space="preserve"> состояние (первичное)</w:t>
            </w:r>
          </w:p>
          <w:p w:rsidR="005D54EC" w:rsidRPr="005D54EC" w:rsidRDefault="005D54EC" w:rsidP="005D54EC">
            <w:pPr>
              <w:pStyle w:val="ConsPlusNormal"/>
              <w:contextualSpacing/>
              <w:rPr>
                <w:sz w:val="28"/>
                <w:szCs w:val="28"/>
              </w:rPr>
            </w:pPr>
            <w:proofErr w:type="spellStart"/>
            <w:r w:rsidRPr="005D54EC">
              <w:rPr>
                <w:sz w:val="28"/>
                <w:szCs w:val="28"/>
              </w:rPr>
              <w:t>Иммуносупрессия</w:t>
            </w:r>
            <w:proofErr w:type="spellEnd"/>
            <w:r w:rsidRPr="005D54EC">
              <w:rPr>
                <w:sz w:val="28"/>
                <w:szCs w:val="28"/>
              </w:rPr>
              <w:t>, злокачественные новообразования</w:t>
            </w:r>
          </w:p>
          <w:p w:rsidR="005D54EC" w:rsidRPr="005D54EC" w:rsidRDefault="005D54EC" w:rsidP="005D54EC">
            <w:pPr>
              <w:pStyle w:val="ConsPlusNormal"/>
              <w:contextualSpacing/>
              <w:rPr>
                <w:sz w:val="28"/>
                <w:szCs w:val="28"/>
              </w:rPr>
            </w:pPr>
            <w:r w:rsidRPr="005D54EC">
              <w:rPr>
                <w:sz w:val="28"/>
                <w:szCs w:val="28"/>
              </w:rPr>
              <w:t>Беременность</w:t>
            </w:r>
          </w:p>
          <w:p w:rsidR="005D54EC" w:rsidRPr="005D54EC" w:rsidRDefault="005D54EC" w:rsidP="005D54EC">
            <w:pPr>
              <w:pStyle w:val="ConsPlusNormal"/>
              <w:contextualSpacing/>
              <w:rPr>
                <w:sz w:val="28"/>
                <w:szCs w:val="28"/>
              </w:rPr>
            </w:pPr>
            <w:r w:rsidRPr="005D54EC">
              <w:rPr>
                <w:sz w:val="28"/>
                <w:szCs w:val="28"/>
              </w:rPr>
              <w:t>Вес ребенка при рождении менее 2000 г</w:t>
            </w:r>
          </w:p>
          <w:p w:rsidR="005D54EC" w:rsidRPr="005D54EC" w:rsidRDefault="005D54EC" w:rsidP="005D54EC">
            <w:pPr>
              <w:pStyle w:val="ConsPlusNormal"/>
              <w:contextualSpacing/>
              <w:rPr>
                <w:sz w:val="28"/>
                <w:szCs w:val="28"/>
              </w:rPr>
            </w:pPr>
            <w:r w:rsidRPr="005D54EC">
              <w:rPr>
                <w:sz w:val="28"/>
                <w:szCs w:val="28"/>
              </w:rPr>
              <w:t>Келоидный рубец, в том числе после предыдущей дозы</w:t>
            </w:r>
          </w:p>
          <w:p w:rsidR="005D54EC" w:rsidRPr="005D54EC" w:rsidRDefault="005D54EC" w:rsidP="005D54EC">
            <w:pPr>
              <w:pStyle w:val="ConsPlusNormal"/>
              <w:contextualSpacing/>
              <w:rPr>
                <w:sz w:val="28"/>
                <w:szCs w:val="28"/>
              </w:rPr>
            </w:pPr>
            <w:r w:rsidRPr="005D54EC">
              <w:rPr>
                <w:sz w:val="28"/>
                <w:szCs w:val="28"/>
              </w:rPr>
              <w:t xml:space="preserve">Прогрессирующие заболевания нервной системы, </w:t>
            </w:r>
            <w:proofErr w:type="spellStart"/>
            <w:r w:rsidRPr="005D54EC">
              <w:rPr>
                <w:sz w:val="28"/>
                <w:szCs w:val="28"/>
              </w:rPr>
              <w:t>афебрильные</w:t>
            </w:r>
            <w:proofErr w:type="spellEnd"/>
            <w:r w:rsidRPr="005D54EC">
              <w:rPr>
                <w:sz w:val="28"/>
                <w:szCs w:val="28"/>
              </w:rPr>
              <w:t xml:space="preserve"> судороги в анамнезе</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3</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БЦЖ</w:t>
            </w:r>
          </w:p>
        </w:tc>
        <w:tc>
          <w:tcPr>
            <w:tcW w:w="4479" w:type="dxa"/>
            <w:vMerge/>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4</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АКДС</w:t>
            </w:r>
          </w:p>
        </w:tc>
        <w:tc>
          <w:tcPr>
            <w:tcW w:w="4479" w:type="dxa"/>
            <w:vMerge/>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5</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Живая коревая вакцина (ЖКВ), живая </w:t>
            </w:r>
            <w:proofErr w:type="spellStart"/>
            <w:r w:rsidRPr="005D54EC">
              <w:rPr>
                <w:sz w:val="28"/>
                <w:szCs w:val="28"/>
              </w:rPr>
              <w:t>паротитная</w:t>
            </w:r>
            <w:proofErr w:type="spellEnd"/>
            <w:r w:rsidRPr="005D54EC">
              <w:rPr>
                <w:sz w:val="28"/>
                <w:szCs w:val="28"/>
              </w:rPr>
              <w:t xml:space="preserve"> вакцина (ЖПВ), краснушная, а также комбинированные </w:t>
            </w:r>
            <w:proofErr w:type="spellStart"/>
            <w:r w:rsidRPr="005D54EC">
              <w:rPr>
                <w:sz w:val="28"/>
                <w:szCs w:val="28"/>
              </w:rPr>
              <w:t>ди</w:t>
            </w:r>
            <w:proofErr w:type="spellEnd"/>
            <w:r w:rsidRPr="005D54EC">
              <w:rPr>
                <w:sz w:val="28"/>
                <w:szCs w:val="28"/>
              </w:rPr>
              <w:t>- и тривакцины (корь - паротит, корь - краснуха - паротит)</w:t>
            </w:r>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Тяжелые формы аллергических реакций на </w:t>
            </w:r>
            <w:proofErr w:type="spellStart"/>
            <w:r w:rsidRPr="005D54EC">
              <w:rPr>
                <w:sz w:val="28"/>
                <w:szCs w:val="28"/>
              </w:rPr>
              <w:t>аминогликозиды</w:t>
            </w:r>
            <w:proofErr w:type="spellEnd"/>
          </w:p>
          <w:p w:rsidR="005D54EC" w:rsidRPr="005D54EC" w:rsidRDefault="005D54EC" w:rsidP="005D54EC">
            <w:pPr>
              <w:pStyle w:val="ConsPlusNormal"/>
              <w:contextualSpacing/>
              <w:rPr>
                <w:sz w:val="28"/>
                <w:szCs w:val="28"/>
              </w:rPr>
            </w:pPr>
            <w:r w:rsidRPr="005D54EC">
              <w:rPr>
                <w:sz w:val="28"/>
                <w:szCs w:val="28"/>
              </w:rPr>
              <w:t>Анафилактические реакции на яичный белок (кроме краснушной вакцины)</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6</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Вакцина против вирусного гепатита</w:t>
            </w:r>
            <w:proofErr w:type="gramStart"/>
            <w:r w:rsidRPr="005D54EC">
              <w:rPr>
                <w:sz w:val="28"/>
                <w:szCs w:val="28"/>
              </w:rPr>
              <w:t xml:space="preserve"> В</w:t>
            </w:r>
            <w:proofErr w:type="gramEnd"/>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Аллергическая реакция на пекарские дрожжи</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7</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Вакцины АДС, АДС-М, АД-М</w:t>
            </w:r>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Постоянных противопоказаний, </w:t>
            </w:r>
            <w:proofErr w:type="gramStart"/>
            <w:r w:rsidRPr="005D54EC">
              <w:rPr>
                <w:sz w:val="28"/>
                <w:szCs w:val="28"/>
              </w:rPr>
              <w:t>кроме</w:t>
            </w:r>
            <w:proofErr w:type="gramEnd"/>
            <w:r w:rsidRPr="005D54EC">
              <w:rPr>
                <w:sz w:val="28"/>
                <w:szCs w:val="28"/>
              </w:rPr>
              <w:t xml:space="preserve"> упомянутых в </w:t>
            </w:r>
            <w:hyperlink w:anchor="Par40" w:tooltip="1" w:history="1">
              <w:r w:rsidRPr="005D54EC">
                <w:rPr>
                  <w:color w:val="0000FF"/>
                  <w:sz w:val="28"/>
                  <w:szCs w:val="28"/>
                </w:rPr>
                <w:t>п. п. 1</w:t>
              </w:r>
            </w:hyperlink>
            <w:r w:rsidRPr="005D54EC">
              <w:rPr>
                <w:sz w:val="28"/>
                <w:szCs w:val="28"/>
              </w:rPr>
              <w:t xml:space="preserve"> и </w:t>
            </w:r>
            <w:hyperlink w:anchor="Par43" w:tooltip="2" w:history="1">
              <w:r w:rsidRPr="005D54EC">
                <w:rPr>
                  <w:color w:val="0000FF"/>
                  <w:sz w:val="28"/>
                  <w:szCs w:val="28"/>
                </w:rPr>
                <w:t>2</w:t>
              </w:r>
            </w:hyperlink>
            <w:r w:rsidRPr="005D54EC">
              <w:rPr>
                <w:sz w:val="28"/>
                <w:szCs w:val="28"/>
              </w:rPr>
              <w:t>, не имеют</w:t>
            </w:r>
          </w:p>
        </w:tc>
      </w:tr>
    </w:tbl>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r w:rsidRPr="005D54EC">
        <w:rPr>
          <w:sz w:val="28"/>
          <w:szCs w:val="28"/>
        </w:rPr>
        <w:tab/>
        <w:t xml:space="preserve">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Плановые прививки проводятся через две - четыре недели после выздоровления, или в период реконвалесценции или в период ремиссии. При нетяжелых ОРВИ, острых кишечных заболеваниях и других заболеваниях прививки проводятся сразу после нормализации температуры (таблица N 1 МУ </w:t>
      </w:r>
      <w:r w:rsidRPr="005D54EC">
        <w:rPr>
          <w:sz w:val="28"/>
          <w:szCs w:val="28"/>
        </w:rPr>
        <w:lastRenderedPageBreak/>
        <w:t>3.3.1.1095-02).</w:t>
      </w:r>
    </w:p>
    <w:p w:rsidR="005D54EC" w:rsidRPr="005D54EC" w:rsidRDefault="005D54EC" w:rsidP="005D54EC">
      <w:pPr>
        <w:pStyle w:val="ConsPlusNormal"/>
        <w:contextualSpacing/>
        <w:jc w:val="both"/>
        <w:rPr>
          <w:sz w:val="28"/>
          <w:szCs w:val="28"/>
        </w:rPr>
      </w:pPr>
      <w:r w:rsidRPr="005D54EC">
        <w:rPr>
          <w:sz w:val="28"/>
          <w:szCs w:val="28"/>
        </w:rPr>
        <w:tab/>
        <w:t>Наличие противопоказания не означает, что в случае проведения прививки у вакцинированного обязательно возникнет осложнение, речь идет лишь о повышении риска неблагоприятной реакции, что, однако, должно рассматриваться как препятствие к проведению вакцинации в большинстве случаев (п. 3.2 МУ 3.3.1.1095-02).</w:t>
      </w:r>
    </w:p>
    <w:p w:rsidR="005D54EC" w:rsidRPr="005D54EC" w:rsidRDefault="005D54EC" w:rsidP="005D54EC">
      <w:pPr>
        <w:pStyle w:val="ConsPlusNormal"/>
        <w:contextualSpacing/>
        <w:jc w:val="both"/>
        <w:rPr>
          <w:sz w:val="28"/>
          <w:szCs w:val="28"/>
        </w:rPr>
      </w:pPr>
      <w:r w:rsidRPr="005D54EC">
        <w:rPr>
          <w:sz w:val="28"/>
          <w:szCs w:val="28"/>
        </w:rPr>
        <w:t>Противопоказаниями к вакцинированию против COVID-19 вакцинами "</w:t>
      </w:r>
      <w:proofErr w:type="spellStart"/>
      <w:r w:rsidRPr="005D54EC">
        <w:rPr>
          <w:sz w:val="28"/>
          <w:szCs w:val="28"/>
        </w:rPr>
        <w:t>Гам-КОВИД-Вак</w:t>
      </w:r>
      <w:proofErr w:type="spellEnd"/>
      <w:r w:rsidRPr="005D54EC">
        <w:rPr>
          <w:sz w:val="28"/>
          <w:szCs w:val="28"/>
        </w:rPr>
        <w:t>", "</w:t>
      </w:r>
      <w:proofErr w:type="spellStart"/>
      <w:r w:rsidRPr="005D54EC">
        <w:rPr>
          <w:sz w:val="28"/>
          <w:szCs w:val="28"/>
        </w:rPr>
        <w:t>Гам-КОВИД-Вак-Лио</w:t>
      </w:r>
      <w:proofErr w:type="spellEnd"/>
      <w:r w:rsidRPr="005D54EC">
        <w:rPr>
          <w:sz w:val="28"/>
          <w:szCs w:val="28"/>
        </w:rPr>
        <w:t>", "</w:t>
      </w:r>
      <w:proofErr w:type="spellStart"/>
      <w:r w:rsidRPr="005D54EC">
        <w:rPr>
          <w:sz w:val="28"/>
          <w:szCs w:val="28"/>
        </w:rPr>
        <w:t>ЭпиВакКорона</w:t>
      </w:r>
      <w:proofErr w:type="spellEnd"/>
      <w:r w:rsidRPr="005D54EC">
        <w:rPr>
          <w:sz w:val="28"/>
          <w:szCs w:val="28"/>
        </w:rPr>
        <w:t>", "</w:t>
      </w:r>
      <w:proofErr w:type="spellStart"/>
      <w:r w:rsidRPr="005D54EC">
        <w:rPr>
          <w:sz w:val="28"/>
          <w:szCs w:val="28"/>
        </w:rPr>
        <w:t>ЭпиВакКорона-Н</w:t>
      </w:r>
      <w:proofErr w:type="spellEnd"/>
      <w:r w:rsidRPr="005D54EC">
        <w:rPr>
          <w:sz w:val="28"/>
          <w:szCs w:val="28"/>
        </w:rPr>
        <w:t>", "</w:t>
      </w:r>
      <w:proofErr w:type="spellStart"/>
      <w:r w:rsidRPr="005D54EC">
        <w:rPr>
          <w:sz w:val="28"/>
          <w:szCs w:val="28"/>
        </w:rPr>
        <w:t>КовиВак</w:t>
      </w:r>
      <w:proofErr w:type="spellEnd"/>
      <w:r w:rsidRPr="005D54EC">
        <w:rPr>
          <w:sz w:val="28"/>
          <w:szCs w:val="28"/>
        </w:rPr>
        <w:t xml:space="preserve">" и "Спутник </w:t>
      </w:r>
      <w:proofErr w:type="spellStart"/>
      <w:r w:rsidRPr="005D54EC">
        <w:rPr>
          <w:sz w:val="28"/>
          <w:szCs w:val="28"/>
        </w:rPr>
        <w:t>Лайт</w:t>
      </w:r>
      <w:proofErr w:type="spellEnd"/>
      <w:r w:rsidRPr="005D54EC">
        <w:rPr>
          <w:sz w:val="28"/>
          <w:szCs w:val="28"/>
        </w:rPr>
        <w:t>" являются, в частности (п. п. 3.4, 3.5, 3.22, 3.23, 3.26, 3.35 разд. 3, п. 8.5 разд. 8 Приложения к Письму Минздрава России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ind w:left="313"/>
        <w:contextualSpacing/>
        <w:jc w:val="both"/>
        <w:rPr>
          <w:sz w:val="28"/>
          <w:szCs w:val="28"/>
        </w:rPr>
      </w:pPr>
      <w:r w:rsidRPr="005D54EC">
        <w:rPr>
          <w:sz w:val="28"/>
          <w:szCs w:val="28"/>
        </w:rPr>
        <w:t>1) тяжелые формы аллергии;</w:t>
      </w:r>
    </w:p>
    <w:p w:rsidR="005D54EC" w:rsidRPr="005D54EC" w:rsidRDefault="005D54EC" w:rsidP="005D54EC">
      <w:pPr>
        <w:pStyle w:val="ConsPlusNormal"/>
        <w:ind w:left="313"/>
        <w:contextualSpacing/>
        <w:jc w:val="both"/>
        <w:rPr>
          <w:sz w:val="28"/>
          <w:szCs w:val="28"/>
        </w:rPr>
      </w:pPr>
      <w:r w:rsidRPr="005D54EC">
        <w:rPr>
          <w:sz w:val="28"/>
          <w:szCs w:val="28"/>
        </w:rPr>
        <w:t>2) острые инфекционные и неинфекционные заболевания, хронические заболевания в стадии обострения;</w:t>
      </w:r>
    </w:p>
    <w:p w:rsidR="005D54EC" w:rsidRPr="005D54EC" w:rsidRDefault="005D54EC" w:rsidP="005D54EC">
      <w:pPr>
        <w:pStyle w:val="ConsPlusNormal"/>
        <w:ind w:left="313"/>
        <w:contextualSpacing/>
        <w:jc w:val="both"/>
        <w:rPr>
          <w:sz w:val="28"/>
          <w:szCs w:val="28"/>
        </w:rPr>
      </w:pPr>
      <w:r w:rsidRPr="005D54EC">
        <w:rPr>
          <w:sz w:val="28"/>
          <w:szCs w:val="28"/>
        </w:rPr>
        <w:t>3) возраст до 18 лет;</w:t>
      </w:r>
    </w:p>
    <w:p w:rsidR="005D54EC" w:rsidRPr="005D54EC" w:rsidRDefault="005D54EC" w:rsidP="005D54EC">
      <w:pPr>
        <w:pStyle w:val="ConsPlusNormal"/>
        <w:ind w:left="313"/>
        <w:contextualSpacing/>
        <w:jc w:val="both"/>
        <w:rPr>
          <w:sz w:val="28"/>
          <w:szCs w:val="28"/>
        </w:rPr>
      </w:pPr>
      <w:r w:rsidRPr="005D54EC">
        <w:rPr>
          <w:sz w:val="28"/>
          <w:szCs w:val="28"/>
        </w:rPr>
        <w:t xml:space="preserve">4) </w:t>
      </w:r>
      <w:proofErr w:type="spellStart"/>
      <w:r w:rsidRPr="005D54EC">
        <w:rPr>
          <w:sz w:val="28"/>
          <w:szCs w:val="28"/>
        </w:rPr>
        <w:t>поствакцинальное</w:t>
      </w:r>
      <w:proofErr w:type="spellEnd"/>
      <w:r w:rsidRPr="005D54EC">
        <w:rPr>
          <w:sz w:val="28"/>
          <w:szCs w:val="28"/>
        </w:rPr>
        <w:t xml:space="preserve"> осложнение на предыдущее введение вакцины (для двухкомпонентных вакцин).</w:t>
      </w:r>
    </w:p>
    <w:p w:rsidR="005D54EC" w:rsidRPr="005D54EC" w:rsidRDefault="005D54EC" w:rsidP="005D54EC">
      <w:pPr>
        <w:pStyle w:val="ConsPlusNormal"/>
        <w:contextualSpacing/>
        <w:jc w:val="both"/>
        <w:rPr>
          <w:sz w:val="28"/>
          <w:szCs w:val="28"/>
        </w:rPr>
      </w:pPr>
      <w:r w:rsidRPr="005D54EC">
        <w:rPr>
          <w:sz w:val="28"/>
          <w:szCs w:val="28"/>
        </w:rPr>
        <w:tab/>
        <w:t>Также противопоказаниями к применению, например, вакцин "</w:t>
      </w:r>
      <w:proofErr w:type="spellStart"/>
      <w:r w:rsidRPr="005D54EC">
        <w:rPr>
          <w:sz w:val="28"/>
          <w:szCs w:val="28"/>
        </w:rPr>
        <w:t>КовиВак</w:t>
      </w:r>
      <w:proofErr w:type="spellEnd"/>
      <w:r w:rsidRPr="005D54EC">
        <w:rPr>
          <w:sz w:val="28"/>
          <w:szCs w:val="28"/>
        </w:rPr>
        <w:t>", "</w:t>
      </w:r>
      <w:proofErr w:type="spellStart"/>
      <w:r w:rsidRPr="005D54EC">
        <w:rPr>
          <w:sz w:val="28"/>
          <w:szCs w:val="28"/>
        </w:rPr>
        <w:t>ЭпиВакКорона-Н</w:t>
      </w:r>
      <w:proofErr w:type="spellEnd"/>
      <w:r w:rsidRPr="005D54EC">
        <w:rPr>
          <w:sz w:val="28"/>
          <w:szCs w:val="28"/>
        </w:rPr>
        <w:t>" и "</w:t>
      </w:r>
      <w:proofErr w:type="spellStart"/>
      <w:r w:rsidRPr="005D54EC">
        <w:rPr>
          <w:sz w:val="28"/>
          <w:szCs w:val="28"/>
        </w:rPr>
        <w:t>Гам-КОВИД-Вак-Лио</w:t>
      </w:r>
      <w:proofErr w:type="spellEnd"/>
      <w:r w:rsidRPr="005D54EC">
        <w:rPr>
          <w:sz w:val="28"/>
          <w:szCs w:val="28"/>
        </w:rPr>
        <w:t>" являются возраст после 60 лет, беременность и период грудного вскармливания (п. п. 3.4, 3.22, 3.26 Приложения к Письму Минздрава России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r w:rsidRPr="005D54EC">
        <w:rPr>
          <w:sz w:val="28"/>
          <w:szCs w:val="28"/>
        </w:rPr>
        <w:tab/>
      </w:r>
      <w:r w:rsidRPr="005D54EC">
        <w:rPr>
          <w:sz w:val="28"/>
          <w:szCs w:val="28"/>
        </w:rPr>
        <w:tab/>
      </w:r>
      <w:r w:rsidRPr="005D54EC">
        <w:rPr>
          <w:sz w:val="28"/>
          <w:szCs w:val="28"/>
        </w:rPr>
        <w:tab/>
      </w:r>
      <w:r w:rsidRPr="005D54EC">
        <w:rPr>
          <w:sz w:val="28"/>
          <w:szCs w:val="28"/>
        </w:rPr>
        <w:tab/>
      </w:r>
      <w:r w:rsidRPr="005D54EC">
        <w:rPr>
          <w:sz w:val="28"/>
          <w:szCs w:val="28"/>
        </w:rPr>
        <w:tab/>
      </w:r>
      <w:r w:rsidRPr="005D54EC">
        <w:rPr>
          <w:sz w:val="28"/>
          <w:szCs w:val="28"/>
        </w:rPr>
        <w:tab/>
        <w:t>Помощник прокурора Тимошенко Т.Е.</w:t>
      </w: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spacing w:after="0" w:line="240" w:lineRule="auto"/>
        <w:contextualSpacing/>
        <w:jc w:val="both"/>
        <w:rPr>
          <w:rFonts w:ascii="Times New Roman" w:hAnsi="Times New Roman"/>
          <w:sz w:val="28"/>
          <w:szCs w:val="28"/>
        </w:rPr>
      </w:pPr>
    </w:p>
    <w:sectPr w:rsidR="005D54EC" w:rsidRPr="005D54EC" w:rsidSect="004704F5">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75E1F"/>
    <w:rsid w:val="000B2154"/>
    <w:rsid w:val="001B30D0"/>
    <w:rsid w:val="001F6056"/>
    <w:rsid w:val="0023059F"/>
    <w:rsid w:val="00243E3A"/>
    <w:rsid w:val="00292227"/>
    <w:rsid w:val="002966B9"/>
    <w:rsid w:val="00364FBD"/>
    <w:rsid w:val="003661B6"/>
    <w:rsid w:val="003B6755"/>
    <w:rsid w:val="00410E97"/>
    <w:rsid w:val="00415BC8"/>
    <w:rsid w:val="004653B7"/>
    <w:rsid w:val="004704F5"/>
    <w:rsid w:val="00514B22"/>
    <w:rsid w:val="005A42D2"/>
    <w:rsid w:val="005D54EC"/>
    <w:rsid w:val="005F3D4C"/>
    <w:rsid w:val="006E2098"/>
    <w:rsid w:val="0070303A"/>
    <w:rsid w:val="00882245"/>
    <w:rsid w:val="009B681C"/>
    <w:rsid w:val="00A900FD"/>
    <w:rsid w:val="00B11B0B"/>
    <w:rsid w:val="00BF3AF4"/>
    <w:rsid w:val="00C32B2D"/>
    <w:rsid w:val="00C629A9"/>
    <w:rsid w:val="00CD5A99"/>
    <w:rsid w:val="00D11CD8"/>
    <w:rsid w:val="00D2672F"/>
    <w:rsid w:val="00D87501"/>
    <w:rsid w:val="00E568C7"/>
    <w:rsid w:val="00E70895"/>
    <w:rsid w:val="00ED28EA"/>
    <w:rsid w:val="00F620AE"/>
    <w:rsid w:val="00F767B1"/>
    <w:rsid w:val="00FB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4EC"/>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6788</Words>
  <Characters>38693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2022-09-21T05:15:00Z</cp:lastPrinted>
  <dcterms:created xsi:type="dcterms:W3CDTF">2022-09-21T05:19:00Z</dcterms:created>
  <dcterms:modified xsi:type="dcterms:W3CDTF">2022-09-21T05:19:00Z</dcterms:modified>
</cp:coreProperties>
</file>