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>Снятие с регистрации продавца квартиры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договору купли-продажи квартиры продавец обязан снять себя с регистрации в течение 10 дней. Сделка прошла, </w:t>
      </w:r>
      <w:proofErr w:type="spellStart"/>
      <w:r w:rsidRPr="0023213C">
        <w:rPr>
          <w:rFonts w:ascii="Times New Roman" w:hAnsi="Times New Roman"/>
          <w:sz w:val="28"/>
          <w:szCs w:val="28"/>
          <w:lang w:eastAsia="ru-RU"/>
        </w:rPr>
        <w:t>госрегистрация</w:t>
      </w:r>
      <w:proofErr w:type="spell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проведена, но продавец не выписался. На связь не выходит, пропал, найти его теперь крайне сложно. Как поступить покупателю? Каков порядок действий?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 общему правилу и практике сделок при отчуждении квартиры продавец и проживающие с ним лица обязаны освободить жилое помещение и сняться с регистрационного учета. При их отказе новый собственник может сделать это через суд.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421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 граждане и юридические лица свободны в заключени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договора. Стороны могут заключить договор как предусмотренный, так и не предусмотренный законом или иными правовыми актами.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209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 собственнику принадлежат права владения, пользования и распоряжения имуществом.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288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РФ, </w:t>
      </w:r>
      <w:hyperlink r:id="rId7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30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собственник осуществляет права владения, пользования и распоряжения принадлежащим ему жилым помещением в соответствии с его назначением.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В случае прекращения у гражданина права пользования жилым помещением данный гражданин обязан освободить соответствующее жилое помещение. Если данный гражданин в срок, установленный собственником соответствующего жилого помещения, не освобождает указанное жилое помещение, он подлежит выселению по требованию собственника на основании решения суда (</w:t>
      </w:r>
      <w:hyperlink r:id="rId8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35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РФ).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304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 целью выселения бывшего собственника жилья необходимо подготовить исковое заявление, приложить копии документов, подтверждающих требования, в том числе выписку из ЕГРН, выписку из домовой книги. У вас есть все основания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для обращения в суд с иском о снятии ответчика с регистрационного учета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>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3213C">
        <w:rPr>
          <w:rFonts w:ascii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>Снятие с регистрации по решению суда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Зачастую граждане пытаются снять «неугодных» родственников с регистрационного учета по месту их проживания в связи с возникновением бытовых конфликтов между ними. При этом нужно иметь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ввиду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следующие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положения законодательства. 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соответствии с нормами </w:t>
      </w:r>
      <w:hyperlink r:id="rId10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ст. 61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69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наниматель жилого помещения и члены семьи нанимателя имеют равные права и обязанности, вытекающие из договора социального найма.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2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71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временное отсутствие нанимателя и членов семьи нанимателя не влечет изменение или прекращение их прав и обязанностей по такому договору, в том числе не прекращает права проживания в жилом помещении.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proofErr w:type="gramStart"/>
        <w:r w:rsidRPr="0023213C">
          <w:rPr>
            <w:rFonts w:ascii="Times New Roman" w:hAnsi="Times New Roman"/>
            <w:sz w:val="28"/>
            <w:szCs w:val="28"/>
            <w:lang w:eastAsia="ru-RU"/>
          </w:rPr>
          <w:t>ч</w:t>
        </w:r>
        <w:proofErr w:type="gramEnd"/>
        <w:r w:rsidRPr="0023213C">
          <w:rPr>
            <w:rFonts w:ascii="Times New Roman" w:hAnsi="Times New Roman"/>
            <w:sz w:val="28"/>
            <w:szCs w:val="28"/>
            <w:lang w:eastAsia="ru-RU"/>
          </w:rPr>
          <w:t>. 3 ст. 83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в случае выезда нанимателя и членов семьи нанимателя в другое место жительства договор социального найма жилого помещения считается расторгнутым со дня выезда.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 xml:space="preserve">Таким образом, если отсутствие не носит временного характера, то заинтересованные лица, в том числе наниматель или члены его семьи, имеют право в судебном порядке на основании </w:t>
      </w:r>
      <w:hyperlink r:id="rId14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ч. 3 ст. 83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потребовать признания отсутствующих лиц утратившими право на жилое помещение в связи с выездом в другое место жительства и расторжения тем самым договора социального найма.</w:t>
      </w:r>
      <w:proofErr w:type="gramEnd"/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 xml:space="preserve">Верховный Суд РФ в </w:t>
      </w:r>
      <w:hyperlink r:id="rId15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п. 32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от 02.07.2009 N 14 "О некоторых вопросах, возникших в судебной практике при применении Жилищного кодекса Российской Федерации" указал, что при разрешении таких споров судам необходимо выяснить,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или добровольный,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новом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месте жительства, исполняет ли он обязанности по договору по оплате жилого помещения и коммунальных услуг и др.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Если судом на основании доказательств, представленных стороной истца, будут установлены обстоятельства, свидетельствующие о добровольном выезде лица из жилого помещения в другое место жительства и об отсутствии препятствий в пользовании жилым помещением, из которого он выехал, а также указывающие на отказ такого лица в одностороннем порядке от прав и обязанностей по договору социального найма, иск о признании утратившим право на жилое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помещение в связи с расторжением ответчиком в отношении себя договора социального найма будет удовлетворен.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Верховный Суд РФ пояснил также, что само по себе отсутствие у гражданина, добровольно выехавшего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временным, поскольку согласно </w:t>
      </w:r>
      <w:hyperlink r:id="rId16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ч. 2</w:t>
        </w:r>
        <w:proofErr w:type="gramEnd"/>
        <w:r w:rsidRPr="0023213C">
          <w:rPr>
            <w:rFonts w:ascii="Times New Roman" w:hAnsi="Times New Roman"/>
            <w:sz w:val="28"/>
            <w:szCs w:val="28"/>
            <w:lang w:eastAsia="ru-RU"/>
          </w:rPr>
          <w:t xml:space="preserve"> ст. 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граждане по своему усмотрению и в своих интересах осуществляют принадлежащие им жилищные права.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противном случае суд откажет в иске о признании утратившим право пользования жильем и выселении одного из нанимателей жилого помещения. 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3213C">
        <w:rPr>
          <w:rFonts w:ascii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 xml:space="preserve">Распоряжение жильем,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находящемся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под обременением ипотеки.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  <w:t xml:space="preserve">В практической деятельности прокуратуры часто граждане задают вопросы о том, как совершить сделку с жильем, если оно после погашения ипотеки все еще находится под обременением. 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 кредитному договору банк или иная кредитная организация (далее - банк) предоставляет заемщику кредит в размере и на условиях, которые предусмотрены договором, а заемщик обязуется возвратить полученную денежную сумму и уплатить проценты за пользование ею, а также предусмотренные договором иные платежи.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По общему правилу заемщик обязан возвратить полученную сумму кредита в срок и в порядке,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предусмотрены договором. При этом заемщик может осуществить как полное, так и частичное досрочное погашение задолженности по ипотечному кредиту.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После полного погашения ипотечного кредита нужно запросить в банке справку о полном исполнении вами обязательств по кредитному договору. Также банк должен выдать вам пакет документов, необходимых для погашения регистрационной записи об ипотеке.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При погашении регистрационной записи об ипотеке закладная аннулируется. Регистрационная запись об ипотеке погашается в течение трех рабочих дней (</w:t>
      </w:r>
      <w:hyperlink r:id="rId17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п. п. 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3 ст. 25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16.07.1998 N 102-ФЗ "Об ипотеке (залоге недвижимости)").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После этого можно совершать сделки с квартирой, например, подарить ее родственнику.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В настоящее время государственная регистрация непосредственно договора дарения не требуется. Вместе с тем необходимо регистрировать переход права собственности на недвижимые вещи, в том числе в результате дарения.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23213C">
        <w:rPr>
          <w:rFonts w:ascii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13C">
        <w:rPr>
          <w:rFonts w:ascii="Times New Roman" w:hAnsi="Times New Roman"/>
          <w:sz w:val="28"/>
          <w:szCs w:val="28"/>
        </w:rPr>
        <w:lastRenderedPageBreak/>
        <w:tab/>
      </w:r>
      <w:r w:rsidRPr="0023213C">
        <w:rPr>
          <w:rFonts w:ascii="Times New Roman" w:hAnsi="Times New Roman"/>
          <w:sz w:val="28"/>
          <w:szCs w:val="28"/>
        </w:rPr>
        <w:tab/>
      </w:r>
      <w:r w:rsidRPr="0023213C">
        <w:rPr>
          <w:rFonts w:ascii="Times New Roman" w:hAnsi="Times New Roman"/>
          <w:sz w:val="28"/>
          <w:szCs w:val="28"/>
        </w:rPr>
        <w:tab/>
      </w:r>
      <w:r w:rsidRPr="0023213C">
        <w:rPr>
          <w:rFonts w:ascii="Times New Roman" w:hAnsi="Times New Roman"/>
          <w:sz w:val="28"/>
          <w:szCs w:val="28"/>
        </w:rPr>
        <w:tab/>
      </w:r>
      <w:r w:rsidRPr="0023213C">
        <w:rPr>
          <w:rFonts w:ascii="Times New Roman" w:hAnsi="Times New Roman"/>
          <w:sz w:val="28"/>
          <w:szCs w:val="28"/>
        </w:rPr>
        <w:tab/>
      </w:r>
      <w:r w:rsidRPr="0023213C">
        <w:rPr>
          <w:rFonts w:ascii="Times New Roman" w:hAnsi="Times New Roman"/>
          <w:sz w:val="28"/>
          <w:szCs w:val="28"/>
        </w:rPr>
        <w:tab/>
        <w:t>Ремонт кровли многоквартирного дома</w:t>
      </w: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Ввиду наличия на территории Доволенского района большого количества домов старой постройки возникают вопросы ремонта кровли указанного жилья. При этом граждан интересует, кто должен ремонтировать крышу в случае ее протекания. В связи с этим прокуратура Доволенского района разъясняет.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9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приложении N 2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к Правилам и нормам технической эксплуатации жилищного фонда, утвержденным Постановлением Госстроя России от 27.09.2003 N 170, установлен предельный срок устранения протечек подобного характера, и составляет он одни сутки с момента выявления нарушения.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Поэтому первоначально необходимо обратиться в управляющую организацию с требованием об устранении причин затопления жилого помещения путем проведения ремонтных работ, а также о возмещении причиненного ущерба.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Если ваше заявление будет проигнорировано, рекомендуем обратиться в орган государственного жилищного надзора.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 результатам проверки управляющей организации надзорным органом будет выдано предписание об устранения нарушения с ограниченными сроками исполнения.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Параллельно должен разрешаться вопрос о возмещении ущерба.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Первоначально необходимо принять меры к составлению акта о затоплении жилого помещения.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Указанный акт должен быть составлен управляющей организацией и подписан не позднее 12 часов с момента обращения потребителя в аварийно-диспетчерскую службу. При невозможности подписания акта потребителем (или его представителем), в том числе по причине его отсутствия в занимаемом помещении, акт должен быть подписан, помимо исполнителя, двумя незаинтересованными лицами. Акт составляется в двух экземплярах, один из которых передается потребителю (или его представителю), второй остается у исполнителя.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20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п. 1 ст. 1064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Ответственность за сохранность и содержание общего имущества в многоквартирном доме на основании договора управления несет управляющая организация. Поскольку ею не обеспечено надлежащее состояние крыши, что привело к затоплению жилого помещения, требование о возмещении причиненного ущерба должно быть адресовано именно управляющей организации.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Для возмещения ущерба вам необходимо определить стоимость восстановительного ремонта жилого помещения, расходов на наем иного помещения (если проживание в этом в связи с затоплением невозможно).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Для определения размера ущерба необходимо обратиться в любую </w:t>
      </w:r>
      <w:r w:rsidRPr="0023213C">
        <w:rPr>
          <w:rFonts w:ascii="Times New Roman" w:hAnsi="Times New Roman"/>
          <w:sz w:val="28"/>
          <w:szCs w:val="28"/>
          <w:lang w:eastAsia="ru-RU"/>
        </w:rPr>
        <w:lastRenderedPageBreak/>
        <w:t>экспертную (оценочную) компанию, которая вправе производить такого рода исследования и выдавать заключения.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О дате и времени осмотра квартиры и составлении акта, фиксации последствий затопления квартиры управляющая организация должна быть уведомлена компанией-оценщиком. В ходе осмотра необходимо зафиксировать все нарушения, в том числе носящие скрытый характер, даже если они не были учтены в первоначальном акте.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После получения отчета о рыночной стоимости восстановительного ремонта в целях соблюдения досудебного порядка урегулирования спора необходимо будет обратиться с претензией в адрес управляющей организации, приложив к ней копию отчета.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В случае отказа или уклонения от заключения соглашения и выплаты компенсации вы вправе обратиться в суд с исковым заявлением о возмещении ущерба. Суд также взыскивает в пользу потребителя штраф в размере 50% от размера удовлетворенных требований.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От уплаты государственной пошлины по рассматриваемой категории споров вы освобождены.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>Прокурор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</w:t>
      </w:r>
      <w:r w:rsidRPr="0023213C">
        <w:rPr>
          <w:rFonts w:ascii="Times New Roman" w:hAnsi="Times New Roman"/>
          <w:sz w:val="28"/>
          <w:szCs w:val="28"/>
          <w:lang w:eastAsia="ru-RU"/>
        </w:rPr>
        <w:t>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24A6" w:rsidRDefault="00046B7A" w:rsidP="00046B7A">
      <w:pPr>
        <w:widowControl w:val="0"/>
        <w:autoSpaceDE w:val="0"/>
        <w:autoSpaceDN w:val="0"/>
        <w:ind w:firstLine="540"/>
        <w:jc w:val="both"/>
        <w:rPr>
          <w:szCs w:val="28"/>
          <w:lang w:eastAsia="ru-RU"/>
        </w:rPr>
      </w:pPr>
    </w:p>
    <w:p w:rsidR="00046B7A" w:rsidRPr="008624A6" w:rsidRDefault="00046B7A" w:rsidP="00046B7A">
      <w:pPr>
        <w:widowControl w:val="0"/>
        <w:autoSpaceDE w:val="0"/>
        <w:autoSpaceDN w:val="0"/>
        <w:ind w:firstLine="540"/>
        <w:jc w:val="both"/>
        <w:rPr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  <w:t>Исправление данных в квитанции по оплате вывоза мусора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Региональный оператор по вывозу мусора прислал квитанцию с данными о лицах, которые в доме не проживают уже длительное время. Как можно доказать, что в доме никто не проживает, чтобы не платить за вывоз мусора?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79BC">
        <w:rPr>
          <w:rFonts w:ascii="Times New Roman" w:hAnsi="Times New Roman"/>
          <w:sz w:val="28"/>
          <w:szCs w:val="28"/>
          <w:lang w:eastAsia="ru-RU"/>
        </w:rPr>
        <w:t>По общему правилу, размер платы за коммунальную услугу по обращению с твердыми коммунальными отходами (далее - ТКО) рассчитывается исходя из числа постоянно проживающих и временно проживающих потребителей в жилом помещении (</w:t>
      </w:r>
      <w:hyperlink r:id="rId21" w:history="1">
        <w:r w:rsidRPr="008679BC">
          <w:rPr>
            <w:rFonts w:ascii="Times New Roman" w:hAnsi="Times New Roman"/>
            <w:sz w:val="28"/>
            <w:szCs w:val="28"/>
            <w:lang w:eastAsia="ru-RU"/>
          </w:rPr>
          <w:t>п. 148(34)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- Правила)).</w:t>
      </w:r>
      <w:proofErr w:type="gramEnd"/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79BC">
        <w:rPr>
          <w:rFonts w:ascii="Times New Roman" w:hAnsi="Times New Roman"/>
          <w:sz w:val="28"/>
          <w:szCs w:val="28"/>
          <w:lang w:eastAsia="ru-RU"/>
        </w:rPr>
        <w:t>Также есть специальная норма, согласно которой 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 (</w:t>
      </w:r>
      <w:hyperlink r:id="rId22" w:history="1">
        <w:r w:rsidRPr="008679BC">
          <w:rPr>
            <w:rFonts w:ascii="Times New Roman" w:hAnsi="Times New Roman"/>
            <w:sz w:val="28"/>
            <w:szCs w:val="28"/>
            <w:lang w:eastAsia="ru-RU"/>
          </w:rPr>
          <w:t>п. 148(36)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Правил)).</w:t>
      </w:r>
      <w:proofErr w:type="gramEnd"/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В итоге при отсутствии информации региональный оператор руководствуется вышеуказанным положением и имеет право выставлять к оплате счет, исходя из количества собственников.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К сожалению, действующее законодательство не дает ответ на вопрос: если человек проживает в квартире и платит за обращение с ТКО, обязан ли он платить за обращение с ТКО за другие квартиры и домовладения, которые принадлежат ему на праве собственности, но там никто не проживает?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Отсутствие четкости правового регулирования рождает ситуации, когда потребителям выставляют квитанции к оплате за обращение с ТКО в нескольких регионах, городах, руководствуясь положениями </w:t>
      </w:r>
      <w:hyperlink r:id="rId23" w:history="1">
        <w:r w:rsidRPr="008679BC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>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В таких ситуациях выход заключается в произведении перерасчета. При временном, т.е. более пяти полных календарных дней подряд, отсутствии потребителя в жилом помещении осуществляется перерасчет размера платы за коммунальную услугу по обращению с ТКО в порядке, предусмотренном </w:t>
      </w:r>
      <w:hyperlink r:id="rId24" w:history="1">
        <w:r w:rsidRPr="008679BC">
          <w:rPr>
            <w:rFonts w:ascii="Times New Roman" w:hAnsi="Times New Roman"/>
            <w:sz w:val="28"/>
            <w:szCs w:val="28"/>
            <w:lang w:eastAsia="ru-RU"/>
          </w:rPr>
          <w:t>разд. VIII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Для произведения перерасчета необходимо обратиться к региональному оператору по обращению с ТКО с заявлением о перерасчете.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В заявлении о перерасчете указываются: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ФИО каждого временно отсутствующего потребителя;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день начала и окончания периода его временного отсутствия в жилом помещении.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К заявлению о перерасчете должны прилагаться документы, подтверждающие продолжительность периода временного отсутствия потребителя.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- копия командировочного удостоверения или копия решения (приказа, </w:t>
      </w: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>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справка о нахождении на лечении в стационарном лечебном учреждении или на санаторно-курортном лечении;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счета за проживание в гостинице, общежитии или другом месте временного пребывания или их заверенные копии;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документ органа, осуществляющего временную регистрацию гражданина по месту его временного пребывания в установленных законодательством РФ случаях, или его заверенная копия;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Прокурор района</w:t>
      </w:r>
      <w:r w:rsidRPr="008679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М.И.</w:t>
      </w: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>Права инвалидов на управление транспортными средствами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Права инвалидов на управление транспортными средствами законодателем ограничены.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Человек с инвалидностью может получить водительское удостоверение при отсутствии у него заболеваний, препятствующих управлению автомобилем.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Перечни </w:t>
      </w:r>
      <w:hyperlink r:id="rId25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медицинских противопоказаний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медицинских показаний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7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медицинских ограничений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к управлению транспортным средством установлены Постановлением Правительства РФ от 29.12.2014 N 1604. В </w:t>
      </w:r>
      <w:hyperlink r:id="rId28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медицинских противопоказаний входят следующие заболевания: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1) органические, включая симптоматические, психические расстройства;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2) шизофрения,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шизотипические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и бредовые расстройства;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3) расстройства настроения (аффективные расстройства);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4) невротические, связанные со стрессом и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соматоформные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расстройства;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5) расстройства личности и поведения в зрелом возрасте;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6) умственная отсталость;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7) психические расстройства и расстройства поведения, связанные с употреблением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веществ;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8) эпилепсия;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9) ахроматопсия;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10) слепота обоих глаз.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Тем же Постановлением закреплен </w:t>
      </w:r>
      <w:hyperlink r:id="rId29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заболеваний, при которых инвалид может использовать машину только с ручным управлением или автоматической трансмиссией.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Возьмем, к примеру, лицо, страдающее ДЦП и имеющее инвалидность по данному заболеванию. В вышеуказанном </w:t>
      </w:r>
      <w:hyperlink r:id="rId30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Постановлении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Правительства РФ ДЦП как медицинское противопоказание к управлению автомобилем не указано, также ДЦП нет в </w:t>
      </w:r>
      <w:hyperlink r:id="rId31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перечне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заболеваний, при которых инвалид может использовать машину только с ручным управлением или автоматической трансмиссией. То есть человек, имеющий такое заболевание, как ДЦП, имеет право на управление транспортным средством в зависимости от тяжести данного заболевания и прохождения медицинской комиссии при получении права на управление транспортным средством.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Все зависит от причины инвалидности. Если кандидат в водители успешно пройдет водительскую медкомиссию, то после получения </w:t>
      </w:r>
      <w:proofErr w:type="gramStart"/>
      <w:r w:rsidRPr="008679BC">
        <w:rPr>
          <w:rFonts w:ascii="Times New Roman" w:hAnsi="Times New Roman"/>
          <w:sz w:val="28"/>
          <w:szCs w:val="28"/>
          <w:lang w:eastAsia="ru-RU"/>
        </w:rPr>
        <w:t>водительской</w:t>
      </w:r>
      <w:proofErr w:type="gram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медсправки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он может поступить практически в любую автошколу, освоить вождение и "сдать на права" на общих основаниях.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>Штраф за нарушение правил перевозки детей в авто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За перевозку детей на переднем сиденье, без специального кресла или без использования ремня безопасности действующим законодательством предусмотрен штраф. 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79BC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hyperlink r:id="rId32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п. 22.9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РФ от 23.10.1993 N 1090, перевозка детей в возрасте от 7 до 11 лет (включительно)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</w:t>
      </w:r>
      <w:proofErr w:type="gram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- только с использованием детских удерживающих систем (устройств), соответствующих весу и росту ребенка.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В свою очередь, </w:t>
      </w:r>
      <w:hyperlink r:id="rId33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ч. 3 ст. 12.23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РФ устанавливает ответственность за нарушение требований к перевозке детей, установленных приведенным выше </w:t>
      </w:r>
      <w:hyperlink r:id="rId34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а в качестве санкции определено наложение административного штрафа: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 водителя в размере 3 тыс. руб.;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 должностных лиц - 25 тыс. руб.;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 юридические лица - 100 тыс. руб.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>Оформление кредита несовершеннолетнему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35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26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ГК РФ несовершеннолетние в возрасте от 14 до 18 лет вправе совершать только мелкие бытовые сделки, а также вносить вклады в кредитные организации. Иные сделки они вправе совершать только с согласия своих законных представителей (родителей, усыновителей или попечителя).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Большинство кредитных организаций выдают нецелевые кредиты лицам, достигшим 21 года, реже встречаются кредитные программы, предоставляющие возможность получить кредит с 18 лет.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Банки выдают кредиты несовершеннолетним (с 14 лет) на оплату обучения в вузе. Однако такого рода кредиты - целевые, т.е. денежные средства могут быть направлены только на оплату обучения. Как правило, деньги перечисляются напрямую банком в вуз, поэтому потратить их по своему усмотрению невозможно.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Для получения кредита требуются: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письменное согласие родителей на получение кредита;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наличие поручителя;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наличие паспорта;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наличие регулярного дохода (в том числе стипендии).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Таким образом, 17-летнему учащемуся колледжа кредит не может быть предоставлен.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7B1" w:rsidRDefault="00F767B1"/>
    <w:sectPr w:rsidR="00F767B1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7A"/>
    <w:rsid w:val="000436A8"/>
    <w:rsid w:val="00046B7A"/>
    <w:rsid w:val="0023059F"/>
    <w:rsid w:val="003661B6"/>
    <w:rsid w:val="0039011A"/>
    <w:rsid w:val="007313CC"/>
    <w:rsid w:val="00745623"/>
    <w:rsid w:val="00787D25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7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B17AFEA94F1EACAB42563964EAB95EDB938E396BF6479E581D6D6C045F09C5A4B100D8F35FBDBC2u4B" TargetMode="External"/><Relationship Id="rId13" Type="http://schemas.openxmlformats.org/officeDocument/2006/relationships/hyperlink" Target="consultantplus://offline/ref=D4CFFB927B4993C2339FD34BA59C9DD36BBB17AFEA94F1EACAB42563964EAB95EDB938E392BF6D2BB1CED78A8517E39C5F4B130F93C3u7B" TargetMode="External"/><Relationship Id="rId18" Type="http://schemas.openxmlformats.org/officeDocument/2006/relationships/hyperlink" Target="consultantplus://offline/ref=D4CFFB927B4993C2339FD34BA59C9DD36BBA1DA8E894F1EACAB42563964EAB95EDB938EB93B4322EA4DF8F86830EFC9F4357110DC9u1B" TargetMode="External"/><Relationship Id="rId26" Type="http://schemas.openxmlformats.org/officeDocument/2006/relationships/hyperlink" Target="consultantplus://offline/ref=D4CFFB927B4993C2339FD34BA59C9DD36BBD15ACEA96F1EACAB42563964EAB95EDB938E396BF667BE181D6D6C045F09C5A4B100D8F35FBDBC2u4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CFFB927B4993C2339FD34BA59C9DD36BBC1DAAE595F1EACAB42563964EAB95EDB938E093BB6D2BB1CED78A8517E39C5F4B130F93C3u7B" TargetMode="External"/><Relationship Id="rId34" Type="http://schemas.openxmlformats.org/officeDocument/2006/relationships/hyperlink" Target="consultantplus://offline/ref=D4CFFB927B4993C2339FD34BA59C9DD36BBA1DACED96F1EACAB42563964EAB95EDB938E19EBF6D2BB1CED78A8517E39C5F4B130F93C3u7B" TargetMode="External"/><Relationship Id="rId7" Type="http://schemas.openxmlformats.org/officeDocument/2006/relationships/hyperlink" Target="consultantplus://offline/ref=D4CFFB927B4993C2339FD34BA59C9DD36BBB17AFEA94F1EACAB42563964EAB95EDB938E396BF647CE581D6D6C045F09C5A4B100D8F35FBDBC2u4B" TargetMode="External"/><Relationship Id="rId12" Type="http://schemas.openxmlformats.org/officeDocument/2006/relationships/hyperlink" Target="consultantplus://offline/ref=D4CFFB927B4993C2339FD34BA59C9DD36BBB17AFEA94F1EACAB42563964EAB95EDB938E396BF6278E081D6D6C045F09C5A4B100D8F35FBDBC2u4B" TargetMode="External"/><Relationship Id="rId17" Type="http://schemas.openxmlformats.org/officeDocument/2006/relationships/hyperlink" Target="consultantplus://offline/ref=D4CFFB927B4993C2339FD34BA59C9DD36BBA1DA8E894F1EACAB42563964EAB95EDB938E795B66D2BB1CED78A8517E39C5F4B130F93C3u7B" TargetMode="External"/><Relationship Id="rId25" Type="http://schemas.openxmlformats.org/officeDocument/2006/relationships/hyperlink" Target="consultantplus://offline/ref=D4CFFB927B4993C2339FD34BA59C9DD36BBD15ACEA96F1EACAB42563964EAB95EDB938E396BF667EE181D6D6C045F09C5A4B100D8F35FBDBC2u4B" TargetMode="External"/><Relationship Id="rId33" Type="http://schemas.openxmlformats.org/officeDocument/2006/relationships/hyperlink" Target="consultantplus://offline/ref=D4CFFB927B4993C2339FD34BA59C9DD36BBA1DA9E995F1EACAB42563964EAB95EDB938E695BE6474B4DBC6D28911FA835C570F0D9135CFuB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CFFB927B4993C2339FD34BA59C9DD36BBB17AFEA94F1EACAB42563964EAB95EDB938E396BF667EE081D6D6C045F09C5A4B100D8F35FBDBC2u4B" TargetMode="External"/><Relationship Id="rId20" Type="http://schemas.openxmlformats.org/officeDocument/2006/relationships/hyperlink" Target="consultantplus://offline/ref=D4CFFB927B4993C2339FD34BA59C9DD36BBC14A8E991F1EACAB42563964EAB95EDB938E396BD607FE781D6D6C045F09C5A4B100D8F35FBDBC2u4B" TargetMode="External"/><Relationship Id="rId29" Type="http://schemas.openxmlformats.org/officeDocument/2006/relationships/hyperlink" Target="consultantplus://offline/ref=D4CFFB927B4993C2339FD34BA59C9DD36BBD15ACEA96F1EACAB42563964EAB95EDB938E396BF667BE281D6D6C045F09C5A4B100D8F35FBDBC2u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A14AFEE91F1EACAB42563964EAB95EDB938E396BE6279E281D6D6C045F09C5A4B100D8F35FBDBC2u4B" TargetMode="External"/><Relationship Id="rId11" Type="http://schemas.openxmlformats.org/officeDocument/2006/relationships/hyperlink" Target="consultantplus://offline/ref=D4CFFB927B4993C2339FD34BA59C9DD36BBB17AFEA94F1EACAB42563964EAB95EDB938E190B4322EA4DF8F86830EFC9F4357110DC9u1B" TargetMode="External"/><Relationship Id="rId24" Type="http://schemas.openxmlformats.org/officeDocument/2006/relationships/hyperlink" Target="consultantplus://offline/ref=D4CFFB927B4993C2339FD34BA59C9DD36BBC1DAAE595F1EACAB42563964EAB95EDB938E396BF6578E981D6D6C045F09C5A4B100D8F35FBDBC2u4B" TargetMode="External"/><Relationship Id="rId32" Type="http://schemas.openxmlformats.org/officeDocument/2006/relationships/hyperlink" Target="consultantplus://offline/ref=D4CFFB927B4993C2339FD34BA59C9DD36BBA1DACED96F1EACAB42563964EAB95EDB938E19EBF6D2BB1CED78A8517E39C5F4B130F93C3u7B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4CFFB927B4993C2339FD34BA59C9DD36BBA14AFEE91F1EACAB42563964EAB95EDB938E396BE677DE681D6D6C045F09C5A4B100D8F35FBDBC2u4B" TargetMode="External"/><Relationship Id="rId15" Type="http://schemas.openxmlformats.org/officeDocument/2006/relationships/hyperlink" Target="consultantplus://offline/ref=D4CFFB927B4993C2339FD34BA59C9DD360B715AEEC9FACE0C2ED29619141F482EAF034E296BE6476EBDED3C3D11DFC9A435413119337F9CDu9B" TargetMode="External"/><Relationship Id="rId23" Type="http://schemas.openxmlformats.org/officeDocument/2006/relationships/hyperlink" Target="consultantplus://offline/ref=D4CFFB927B4993C2339FD34BA59C9DD36BBC1DAAE595F1EACAB42563964EAB95EDB938E396BF667CE181D6D6C045F09C5A4B100D8F35FBDBC2u4B" TargetMode="External"/><Relationship Id="rId28" Type="http://schemas.openxmlformats.org/officeDocument/2006/relationships/hyperlink" Target="consultantplus://offline/ref=D4CFFB927B4993C2339FD34BA59C9DD36BBD15ACEA96F1EACAB42563964EAB95EDB938E396BF667EE181D6D6C045F09C5A4B100D8F35FBDBC2u4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4CFFB927B4993C2339FD34BA59C9DD36BBB17AFEA94F1EACAB42563964EAB95EDB938E396BF627DE281D6D6C045F09C5A4B100D8F35FBDBC2u4B" TargetMode="External"/><Relationship Id="rId19" Type="http://schemas.openxmlformats.org/officeDocument/2006/relationships/hyperlink" Target="consultantplus://offline/ref=D4CFFB927B4993C2339FD34BA59C9DD36CBA13ABEE9FACE0C2ED29619141F482EAF034E297BA6079EBDED3C3D11DFC9A435413119337F9CDu9B" TargetMode="External"/><Relationship Id="rId31" Type="http://schemas.openxmlformats.org/officeDocument/2006/relationships/hyperlink" Target="consultantplus://offline/ref=D4CFFB927B4993C2339FD34BA59C9DD36BBD15ACEA96F1EACAB42563964EAB95EDB938E396BF667BE181D6D6C045F09C5A4B100D8F35FBDBC2u4B" TargetMode="External"/><Relationship Id="rId4" Type="http://schemas.openxmlformats.org/officeDocument/2006/relationships/hyperlink" Target="consultantplus://offline/ref=D4CFFB927B4993C2339FD34BA59C9DD36BBA14AFEE91F1EACAB42563964EAB95EDB938E396BE6F76E081D6D6C045F09C5A4B100D8F35FBDBC2u4B" TargetMode="External"/><Relationship Id="rId9" Type="http://schemas.openxmlformats.org/officeDocument/2006/relationships/hyperlink" Target="consultantplus://offline/ref=D4CFFB927B4993C2339FD34BA59C9DD36BBA14AFEE91F1EACAB42563964EAB95EDB938E396BE637DE181D6D6C045F09C5A4B100D8F35FBDBC2u4B" TargetMode="External"/><Relationship Id="rId14" Type="http://schemas.openxmlformats.org/officeDocument/2006/relationships/hyperlink" Target="consultantplus://offline/ref=D4CFFB927B4993C2339FD34BA59C9DD36BBB17AFEA94F1EACAB42563964EAB95EDB938E392BF6D2BB1CED78A8517E39C5F4B130F93C3u7B" TargetMode="External"/><Relationship Id="rId22" Type="http://schemas.openxmlformats.org/officeDocument/2006/relationships/hyperlink" Target="consultantplus://offline/ref=D4CFFB927B4993C2339FD34BA59C9DD36BBC1DAAE595F1EACAB42563964EAB95EDB938E093B76D2BB1CED78A8517E39C5F4B130F93C3u7B" TargetMode="External"/><Relationship Id="rId27" Type="http://schemas.openxmlformats.org/officeDocument/2006/relationships/hyperlink" Target="consultantplus://offline/ref=D4CFFB927B4993C2339FD34BA59C9DD36BBD15ACEA96F1EACAB42563964EAB95EDB938E396BF6679E881D6D6C045F09C5A4B100D8F35FBDBC2u4B" TargetMode="External"/><Relationship Id="rId30" Type="http://schemas.openxmlformats.org/officeDocument/2006/relationships/hyperlink" Target="consultantplus://offline/ref=D4CFFB927B4993C2339FD34BA59C9DD36BBD15ACEA96F1EACAB42563964EAB95EDB938E396BF667EE181D6D6C045F09C5A4B100D8F35FBDBC2u4B" TargetMode="External"/><Relationship Id="rId35" Type="http://schemas.openxmlformats.org/officeDocument/2006/relationships/hyperlink" Target="consultantplus://offline/ref=D4CFFB927B4993C2339FD34BA59C9DD36BBA14AFEE91F1EACAB42563964EAB95EDB938E396BF677AE3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3592</Words>
  <Characters>20481</Characters>
  <Application>Microsoft Office Word</Application>
  <DocSecurity>0</DocSecurity>
  <Lines>170</Lines>
  <Paragraphs>48</Paragraphs>
  <ScaleCrop>false</ScaleCrop>
  <Company>Microsoft</Company>
  <LinksUpToDate>false</LinksUpToDate>
  <CharactersWithSpaces>24025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cp:lastPrinted>2021-05-11T02:14:00Z</cp:lastPrinted>
  <dcterms:created xsi:type="dcterms:W3CDTF">2021-05-11T02:15:00Z</dcterms:created>
  <dcterms:modified xsi:type="dcterms:W3CDTF">2021-05-11T02:15:00Z</dcterms:modified>
</cp:coreProperties>
</file>